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textAlignment w:val="auto"/>
        <w:rPr>
          <w:rFonts w:ascii="宋体" w:hAnsi="宋体" w:cs="宋体"/>
          <w:b/>
          <w:sz w:val="32"/>
          <w:szCs w:val="32"/>
        </w:rPr>
      </w:pPr>
      <w:bookmarkStart w:id="0" w:name="_GoBack"/>
      <w:bookmarkEnd w:id="0"/>
      <w:r>
        <w:rPr>
          <w:rFonts w:hint="eastAsia" w:ascii="宋体" w:hAnsi="宋体" w:cs="宋体"/>
          <w:b/>
          <w:sz w:val="32"/>
          <w:szCs w:val="32"/>
          <w:lang w:val="en-US" w:eastAsia="zh-CN"/>
        </w:rPr>
        <w:t>健康学校</w:t>
      </w:r>
      <w:r>
        <w:rPr>
          <w:rFonts w:ascii="宋体" w:hAnsi="宋体" w:cs="宋体"/>
          <w:b/>
          <w:sz w:val="32"/>
          <w:szCs w:val="32"/>
        </w:rPr>
        <w:t>服务</w:t>
      </w:r>
      <w:r>
        <w:rPr>
          <w:rFonts w:hint="eastAsia" w:ascii="宋体" w:hAnsi="宋体" w:cs="宋体"/>
          <w:b/>
          <w:sz w:val="32"/>
          <w:szCs w:val="32"/>
          <w:lang w:val="en-US" w:eastAsia="zh-CN"/>
        </w:rPr>
        <w:t>咨询认证</w:t>
      </w:r>
      <w:r>
        <w:rPr>
          <w:rFonts w:ascii="宋体" w:hAnsi="宋体" w:cs="宋体"/>
          <w:b/>
          <w:sz w:val="32"/>
          <w:szCs w:val="32"/>
        </w:rPr>
        <w:t>合同</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ascii="宋体" w:hAnsi="宋体" w:cs="宋体"/>
          <w:color w:val="000000"/>
          <w:sz w:val="24"/>
          <w:szCs w:val="24"/>
        </w:rPr>
      </w:pPr>
      <w:r>
        <w:rPr>
          <w:rFonts w:ascii="宋体" w:hAnsi="宋体" w:cs="宋体"/>
          <w:b/>
          <w:color w:val="000000"/>
          <w:sz w:val="24"/>
          <w:szCs w:val="24"/>
        </w:rPr>
        <w:t>甲方（委托方）：</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sz w:val="24"/>
          <w:szCs w:val="24"/>
        </w:rPr>
      </w:pPr>
      <w:r>
        <w:rPr>
          <w:rFonts w:ascii="宋体" w:hAnsi="宋体" w:cs="宋体"/>
          <w:color w:val="000000"/>
          <w:sz w:val="24"/>
          <w:szCs w:val="24"/>
        </w:rPr>
        <w:t>统一社会信用代码：</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ascii="宋体" w:hAnsi="宋体" w:cs="宋体"/>
          <w:color w:val="000000"/>
          <w:sz w:val="24"/>
          <w:szCs w:val="24"/>
        </w:rPr>
      </w:pPr>
      <w:r>
        <w:rPr>
          <w:rFonts w:ascii="宋体" w:hAnsi="宋体" w:cs="宋体"/>
          <w:b/>
          <w:color w:val="000000"/>
          <w:sz w:val="24"/>
          <w:szCs w:val="24"/>
        </w:rPr>
        <w:t>乙方（服务方）：</w:t>
      </w:r>
      <w:r>
        <w:rPr>
          <w:rFonts w:hint="eastAsia" w:ascii="宋体" w:hAnsi="宋体" w:cs="宋体"/>
          <w:b/>
          <w:color w:val="000000"/>
          <w:sz w:val="24"/>
          <w:szCs w:val="24"/>
        </w:rPr>
        <w:t>中恒认证（北京）有限公司</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sz w:val="24"/>
          <w:szCs w:val="24"/>
        </w:rPr>
      </w:pPr>
      <w:r>
        <w:rPr>
          <w:rFonts w:ascii="宋体" w:hAnsi="宋体" w:cs="宋体"/>
          <w:color w:val="000000"/>
          <w:sz w:val="24"/>
          <w:szCs w:val="24"/>
        </w:rPr>
        <w:t>统一社会信用代码：</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sz w:val="24"/>
          <w:szCs w:val="24"/>
        </w:rPr>
      </w:pPr>
      <w:r>
        <w:rPr>
          <w:rFonts w:ascii="宋体" w:hAnsi="宋体" w:cs="宋体"/>
          <w:color w:val="000000"/>
          <w:sz w:val="24"/>
          <w:szCs w:val="24"/>
        </w:rPr>
        <w:t>根据《中华人民共和国民法典》，经双方充分协商，甲方决定委托乙方为甲方提供</w:t>
      </w:r>
      <w:r>
        <w:rPr>
          <w:rFonts w:hint="eastAsia" w:ascii="宋体" w:hAnsi="宋体" w:cs="宋体"/>
          <w:color w:val="000000"/>
          <w:sz w:val="24"/>
          <w:szCs w:val="24"/>
          <w:lang w:val="en-US" w:eastAsia="zh-CN"/>
        </w:rPr>
        <w:t>认证</w:t>
      </w:r>
      <w:r>
        <w:rPr>
          <w:rFonts w:ascii="宋体" w:hAnsi="宋体" w:cs="宋体"/>
          <w:color w:val="000000"/>
          <w:sz w:val="24"/>
          <w:szCs w:val="24"/>
        </w:rPr>
        <w:t>咨询</w:t>
      </w:r>
      <w:r>
        <w:rPr>
          <w:rFonts w:hint="eastAsia" w:ascii="宋体" w:hAnsi="宋体" w:cs="宋体"/>
          <w:color w:val="000000"/>
          <w:sz w:val="24"/>
          <w:szCs w:val="24"/>
          <w:lang w:val="en-US" w:eastAsia="zh-CN"/>
        </w:rPr>
        <w:t>及认证</w:t>
      </w:r>
      <w:r>
        <w:rPr>
          <w:rFonts w:ascii="宋体" w:hAnsi="宋体" w:cs="宋体"/>
          <w:color w:val="000000"/>
          <w:sz w:val="24"/>
          <w:szCs w:val="24"/>
        </w:rPr>
        <w:t>服务，现达成一致意见</w:t>
      </w:r>
      <w:r>
        <w:rPr>
          <w:rFonts w:hint="eastAsia" w:ascii="宋体" w:hAnsi="宋体" w:cs="宋体"/>
          <w:color w:val="000000"/>
          <w:sz w:val="24"/>
          <w:szCs w:val="24"/>
          <w:lang w:val="en-US" w:eastAsia="zh-CN"/>
        </w:rPr>
        <w:t>双方</w:t>
      </w:r>
      <w:r>
        <w:rPr>
          <w:rFonts w:ascii="宋体" w:hAnsi="宋体" w:cs="宋体"/>
          <w:color w:val="000000"/>
          <w:sz w:val="24"/>
          <w:szCs w:val="24"/>
        </w:rPr>
        <w:t>经平等自愿协商，签订本合同以共同遵守。</w:t>
      </w:r>
    </w:p>
    <w:p>
      <w:pPr>
        <w:pStyle w:val="3"/>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ascii="宋体" w:hAnsi="宋体" w:cs="宋体"/>
          <w:color w:val="000000"/>
          <w:sz w:val="24"/>
          <w:szCs w:val="24"/>
        </w:rPr>
      </w:pPr>
      <w:r>
        <w:rPr>
          <w:rFonts w:ascii="宋体" w:hAnsi="宋体" w:cs="宋体"/>
          <w:b/>
          <w:sz w:val="24"/>
          <w:szCs w:val="24"/>
        </w:rPr>
        <w:t>咨询服务内容</w:t>
      </w:r>
    </w:p>
    <w:p>
      <w:pPr>
        <w:pStyle w:val="8"/>
        <w:keepNext w:val="0"/>
        <w:keepLines w:val="0"/>
        <w:pageBreakBefore w:val="0"/>
        <w:widowControl w:val="0"/>
        <w:numPr>
          <w:ilvl w:val="1"/>
          <w:numId w:val="1"/>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sz w:val="24"/>
          <w:szCs w:val="24"/>
        </w:rPr>
      </w:pPr>
      <w:r>
        <w:rPr>
          <w:rFonts w:ascii="宋体" w:hAnsi="宋体" w:cs="宋体"/>
          <w:color w:val="000000"/>
          <w:sz w:val="24"/>
          <w:szCs w:val="24"/>
        </w:rPr>
        <w:t>乙方根据甲方实际情况，负责指导甲方建立、实施并改进管理体系，直到取得相应的《</w:t>
      </w:r>
      <w:r>
        <w:rPr>
          <w:rFonts w:hint="eastAsia" w:ascii="宋体" w:hAnsi="宋体" w:cs="宋体"/>
          <w:color w:val="000000"/>
          <w:sz w:val="24"/>
          <w:szCs w:val="24"/>
          <w:lang w:val="en-US" w:eastAsia="zh-CN"/>
        </w:rPr>
        <w:t>健康学校服务</w:t>
      </w:r>
      <w:r>
        <w:rPr>
          <w:rFonts w:ascii="宋体" w:hAnsi="宋体" w:cs="宋体"/>
          <w:color w:val="000000"/>
          <w:sz w:val="24"/>
          <w:szCs w:val="24"/>
        </w:rPr>
        <w:t>认证证书》，以及完成证书有效期内的监督审核工作，证书</w:t>
      </w:r>
      <w:r>
        <w:rPr>
          <w:rFonts w:ascii="宋体" w:hAnsi="宋体" w:cs="宋体"/>
          <w:color w:val="auto"/>
          <w:sz w:val="24"/>
          <w:szCs w:val="24"/>
        </w:rPr>
        <w:t>有效期为</w:t>
      </w:r>
      <w:r>
        <w:rPr>
          <w:rFonts w:hint="eastAsia" w:ascii="宋体" w:hAnsi="宋体" w:cs="宋体"/>
          <w:color w:val="auto"/>
          <w:sz w:val="24"/>
          <w:szCs w:val="24"/>
          <w:u w:val="none"/>
          <w:lang w:val="en-US" w:eastAsia="zh-CN"/>
        </w:rPr>
        <w:t>三</w:t>
      </w:r>
      <w:r>
        <w:rPr>
          <w:rFonts w:ascii="宋体" w:hAnsi="宋体" w:cs="宋体"/>
          <w:color w:val="auto"/>
          <w:sz w:val="24"/>
          <w:szCs w:val="24"/>
        </w:rPr>
        <w:t>年。</w:t>
      </w:r>
    </w:p>
    <w:p>
      <w:pPr>
        <w:pStyle w:val="8"/>
        <w:keepNext w:val="0"/>
        <w:keepLines w:val="0"/>
        <w:pageBreakBefore w:val="0"/>
        <w:widowControl w:val="0"/>
        <w:numPr>
          <w:ilvl w:val="1"/>
          <w:numId w:val="1"/>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sz w:val="24"/>
          <w:szCs w:val="24"/>
        </w:rPr>
      </w:pPr>
      <w:r>
        <w:rPr>
          <w:rFonts w:ascii="宋体" w:hAnsi="宋体" w:cs="宋体"/>
          <w:color w:val="000000"/>
          <w:sz w:val="24"/>
          <w:szCs w:val="24"/>
        </w:rPr>
        <w:t>乙方派技术服务人员分阶段开展咨询、指导工作，</w:t>
      </w:r>
      <w:r>
        <w:rPr>
          <w:rFonts w:hint="eastAsia" w:ascii="宋体" w:hAnsi="宋体" w:cs="宋体"/>
          <w:color w:val="000000"/>
          <w:sz w:val="24"/>
          <w:szCs w:val="24"/>
          <w:lang w:val="en-US" w:eastAsia="zh-CN"/>
        </w:rPr>
        <w:t>协助甲方申请以下领域认证：</w:t>
      </w:r>
    </w:p>
    <w:tbl>
      <w:tblPr>
        <w:tblStyle w:val="9"/>
        <w:tblW w:w="9781"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2601"/>
        <w:gridCol w:w="5479"/>
        <w:gridCol w:w="1701"/>
      </w:tblGrid>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014" w:hRule="atLeast"/>
          <w:jc w:val="center"/>
        </w:trPr>
        <w:tc>
          <w:tcPr>
            <w:tcW w:w="260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cs="宋体"/>
                <w:color w:val="auto"/>
                <w:sz w:val="24"/>
                <w:szCs w:val="24"/>
              </w:rPr>
            </w:pPr>
            <w:r>
              <w:rPr>
                <w:rFonts w:hint="eastAsia" w:ascii="宋体" w:hAnsi="宋体" w:cs="宋体"/>
                <w:color w:val="auto"/>
                <w:sz w:val="24"/>
                <w:szCs w:val="24"/>
              </w:rPr>
              <w:t>教育服务认证</w:t>
            </w:r>
          </w:p>
        </w:tc>
        <w:tc>
          <w:tcPr>
            <w:tcW w:w="547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cs="宋体"/>
                <w:color w:val="auto"/>
                <w:sz w:val="24"/>
                <w:szCs w:val="24"/>
              </w:rPr>
            </w:pPr>
            <w:r>
              <w:rPr>
                <w:rFonts w:hint="eastAsia" w:ascii="宋体" w:hAnsi="宋体" w:cs="宋体"/>
                <w:color w:val="auto"/>
                <w:sz w:val="24"/>
                <w:szCs w:val="24"/>
              </w:rPr>
              <w:t>GF-SC-02 健康学校服务认证要求</w:t>
            </w: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38" w:leftChars="16"/>
              <w:textAlignment w:val="auto"/>
              <w:rPr>
                <w:rFonts w:ascii="宋体" w:hAnsi="宋体" w:cs="宋体"/>
                <w:color w:val="auto"/>
                <w:sz w:val="24"/>
                <w:szCs w:val="24"/>
              </w:rPr>
            </w:pPr>
            <w:r>
              <w:rPr>
                <w:rFonts w:hint="eastAsia" w:ascii="宋体" w:hAnsi="宋体" w:cs="宋体"/>
                <w:color w:val="auto"/>
                <w:sz w:val="24"/>
                <w:szCs w:val="24"/>
              </w:rPr>
              <w:t>□初次认证</w:t>
            </w:r>
            <w:r>
              <w:rPr>
                <w:rFonts w:hint="eastAsia" w:ascii="宋体" w:hAnsi="宋体" w:cs="宋体"/>
                <w:color w:val="auto"/>
                <w:sz w:val="24"/>
                <w:szCs w:val="24"/>
              </w:rPr>
              <w:br w:type="textWrapping"/>
            </w:r>
            <w:r>
              <w:rPr>
                <w:rFonts w:hint="eastAsia" w:ascii="宋体" w:hAnsi="宋体" w:cs="宋体"/>
                <w:color w:val="auto"/>
                <w:sz w:val="24"/>
                <w:szCs w:val="24"/>
              </w:rPr>
              <w:t>□再认证</w:t>
            </w:r>
          </w:p>
        </w:tc>
      </w:tr>
    </w:tbl>
    <w:p>
      <w:pPr>
        <w:pStyle w:val="3"/>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ascii="宋体" w:hAnsi="宋体" w:cs="宋体"/>
          <w:color w:val="000000" w:themeColor="text1"/>
          <w:sz w:val="24"/>
          <w:szCs w:val="24"/>
          <w14:textFill>
            <w14:solidFill>
              <w14:schemeClr w14:val="tx1"/>
            </w14:solidFill>
          </w14:textFill>
        </w:rPr>
      </w:pPr>
      <w:r>
        <w:rPr>
          <w:rFonts w:ascii="宋体" w:hAnsi="宋体" w:cs="宋体"/>
          <w:b/>
          <w:color w:val="000000" w:themeColor="text1"/>
          <w:sz w:val="24"/>
          <w:szCs w:val="24"/>
          <w14:textFill>
            <w14:solidFill>
              <w14:schemeClr w14:val="tx1"/>
            </w14:solidFill>
          </w14:textFill>
        </w:rPr>
        <w:t>委托期限</w:t>
      </w:r>
    </w:p>
    <w:p>
      <w:pPr>
        <w:pStyle w:val="8"/>
        <w:keepNext w:val="0"/>
        <w:keepLines w:val="0"/>
        <w:pageBreakBefore w:val="0"/>
        <w:widowControl w:val="0"/>
        <w:numPr>
          <w:ilvl w:val="1"/>
          <w:numId w:val="1"/>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委托期限自</w:t>
      </w:r>
      <w:r>
        <w:rPr>
          <w:rFonts w:hint="eastAsia" w:ascii="宋体" w:hAnsi="宋体" w:cs="宋体"/>
          <w:color w:val="000000" w:themeColor="text1"/>
          <w:sz w:val="24"/>
          <w:szCs w:val="24"/>
          <w:lang w:val="en-US" w:eastAsia="zh-CN"/>
          <w14:textFill>
            <w14:solidFill>
              <w14:schemeClr w14:val="tx1"/>
            </w14:solidFill>
          </w14:textFill>
        </w:rPr>
        <w:t>本合同签订时起至</w:t>
      </w:r>
      <w:r>
        <w:rPr>
          <w:rFonts w:ascii="宋体" w:hAnsi="宋体" w:cs="宋体"/>
          <w:color w:val="000000" w:themeColor="text1"/>
          <w:sz w:val="24"/>
          <w:szCs w:val="24"/>
          <w14:textFill>
            <w14:solidFill>
              <w14:schemeClr w14:val="tx1"/>
            </w14:solidFill>
          </w14:textFill>
        </w:rPr>
        <w:t>甲方</w:t>
      </w:r>
      <w:r>
        <w:rPr>
          <w:rFonts w:hint="eastAsia" w:ascii="宋体" w:hAnsi="宋体" w:cs="宋体"/>
          <w:color w:val="000000" w:themeColor="text1"/>
          <w:sz w:val="24"/>
          <w:szCs w:val="24"/>
          <w:lang w:val="en-US" w:eastAsia="zh-CN"/>
          <w14:textFill>
            <w14:solidFill>
              <w14:schemeClr w14:val="tx1"/>
            </w14:solidFill>
          </w14:textFill>
        </w:rPr>
        <w:t>取得上述</w:t>
      </w:r>
      <w:r>
        <w:rPr>
          <w:rFonts w:ascii="宋体" w:hAnsi="宋体" w:cs="宋体"/>
          <w:color w:val="000000" w:themeColor="text1"/>
          <w:sz w:val="24"/>
          <w:szCs w:val="24"/>
          <w14:textFill>
            <w14:solidFill>
              <w14:schemeClr w14:val="tx1"/>
            </w14:solidFill>
          </w14:textFill>
        </w:rPr>
        <w:t>证书</w:t>
      </w:r>
      <w:r>
        <w:rPr>
          <w:rFonts w:hint="eastAsia" w:ascii="宋体" w:hAnsi="宋体" w:cs="宋体"/>
          <w:color w:val="000000" w:themeColor="text1"/>
          <w:sz w:val="24"/>
          <w:szCs w:val="24"/>
          <w:lang w:val="en-US" w:eastAsia="zh-CN"/>
          <w14:textFill>
            <w14:solidFill>
              <w14:schemeClr w14:val="tx1"/>
            </w14:solidFill>
          </w14:textFill>
        </w:rPr>
        <w:t>时</w:t>
      </w:r>
      <w:r>
        <w:rPr>
          <w:rFonts w:ascii="宋体" w:hAnsi="宋体" w:cs="宋体"/>
          <w:color w:val="000000" w:themeColor="text1"/>
          <w:sz w:val="24"/>
          <w:szCs w:val="24"/>
          <w14:textFill>
            <w14:solidFill>
              <w14:schemeClr w14:val="tx1"/>
            </w14:solidFill>
          </w14:textFill>
        </w:rPr>
        <w:t>止。</w:t>
      </w:r>
    </w:p>
    <w:p>
      <w:pPr>
        <w:pStyle w:val="8"/>
        <w:keepNext w:val="0"/>
        <w:keepLines w:val="0"/>
        <w:pageBreakBefore w:val="0"/>
        <w:widowControl w:val="0"/>
        <w:numPr>
          <w:ilvl w:val="1"/>
          <w:numId w:val="1"/>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乙方承诺将在</w:t>
      </w:r>
      <w:r>
        <w:rPr>
          <w:rFonts w:ascii="宋体" w:hAnsi="宋体" w:cs="宋体"/>
          <w:color w:val="000000" w:themeColor="text1"/>
          <w:sz w:val="24"/>
          <w:szCs w:val="24"/>
          <w:u w:val="single"/>
          <w14:textFill>
            <w14:solidFill>
              <w14:schemeClr w14:val="tx1"/>
            </w14:solidFill>
          </w14:textFill>
        </w:rPr>
        <w:t>    </w:t>
      </w:r>
      <w:r>
        <w:rPr>
          <w:rFonts w:ascii="宋体" w:hAnsi="宋体" w:cs="宋体"/>
          <w:color w:val="000000" w:themeColor="text1"/>
          <w:sz w:val="24"/>
          <w:szCs w:val="24"/>
          <w14:textFill>
            <w14:solidFill>
              <w14:schemeClr w14:val="tx1"/>
            </w14:solidFill>
          </w14:textFill>
        </w:rPr>
        <w:t>年</w:t>
      </w:r>
      <w:r>
        <w:rPr>
          <w:rFonts w:ascii="宋体" w:hAnsi="宋体" w:cs="宋体"/>
          <w:color w:val="000000" w:themeColor="text1"/>
          <w:sz w:val="24"/>
          <w:szCs w:val="24"/>
          <w:u w:val="single"/>
          <w14:textFill>
            <w14:solidFill>
              <w14:schemeClr w14:val="tx1"/>
            </w14:solidFill>
          </w14:textFill>
        </w:rPr>
        <w:t>    </w:t>
      </w:r>
      <w:r>
        <w:rPr>
          <w:rFonts w:ascii="宋体" w:hAnsi="宋体" w:cs="宋体"/>
          <w:color w:val="000000" w:themeColor="text1"/>
          <w:sz w:val="24"/>
          <w:szCs w:val="24"/>
          <w14:textFill>
            <w14:solidFill>
              <w14:schemeClr w14:val="tx1"/>
            </w14:solidFill>
          </w14:textFill>
        </w:rPr>
        <w:t>月</w:t>
      </w:r>
      <w:r>
        <w:rPr>
          <w:rFonts w:ascii="宋体" w:hAnsi="宋体" w:cs="宋体"/>
          <w:color w:val="000000" w:themeColor="text1"/>
          <w:sz w:val="24"/>
          <w:szCs w:val="24"/>
          <w:u w:val="single"/>
          <w14:textFill>
            <w14:solidFill>
              <w14:schemeClr w14:val="tx1"/>
            </w14:solidFill>
          </w14:textFill>
        </w:rPr>
        <w:t>    </w:t>
      </w:r>
      <w:r>
        <w:rPr>
          <w:rFonts w:ascii="宋体" w:hAnsi="宋体" w:cs="宋体"/>
          <w:color w:val="000000" w:themeColor="text1"/>
          <w:sz w:val="24"/>
          <w:szCs w:val="24"/>
          <w14:textFill>
            <w14:solidFill>
              <w14:schemeClr w14:val="tx1"/>
            </w14:solidFill>
          </w14:textFill>
        </w:rPr>
        <w:t>日前完成</w:t>
      </w:r>
      <w:r>
        <w:rPr>
          <w:rFonts w:hint="eastAsia" w:ascii="宋体" w:hAnsi="宋体" w:cs="宋体"/>
          <w:color w:val="000000" w:themeColor="text1"/>
          <w:sz w:val="24"/>
          <w:szCs w:val="24"/>
          <w:lang w:val="en-US" w:eastAsia="zh-CN"/>
          <w14:textFill>
            <w14:solidFill>
              <w14:schemeClr w14:val="tx1"/>
            </w14:solidFill>
          </w14:textFill>
        </w:rPr>
        <w:t>证书</w:t>
      </w:r>
      <w:r>
        <w:rPr>
          <w:rFonts w:ascii="宋体" w:hAnsi="宋体" w:cs="宋体"/>
          <w:color w:val="000000" w:themeColor="text1"/>
          <w:sz w:val="24"/>
          <w:szCs w:val="24"/>
          <w14:textFill>
            <w14:solidFill>
              <w14:schemeClr w14:val="tx1"/>
            </w14:solidFill>
          </w14:textFill>
        </w:rPr>
        <w:t>交付，在咨询</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认证</w:t>
      </w:r>
      <w:r>
        <w:rPr>
          <w:rFonts w:ascii="宋体" w:hAnsi="宋体" w:cs="宋体"/>
          <w:color w:val="000000" w:themeColor="text1"/>
          <w:sz w:val="24"/>
          <w:szCs w:val="24"/>
          <w14:textFill>
            <w14:solidFill>
              <w14:schemeClr w14:val="tx1"/>
            </w14:solidFill>
          </w14:textFill>
        </w:rPr>
        <w:t>工作开始前，乙方应根据甲方实际情况制定咨询计划并明确各阶段工作内容清单，在实际执行过程中若甲方发现工作计划中预留的资料准备时间不足，应及时与乙方沟通</w:t>
      </w:r>
      <w:r>
        <w:rPr>
          <w:rFonts w:hint="eastAsia" w:ascii="宋体" w:hAnsi="宋体" w:cs="宋体"/>
          <w:color w:val="000000" w:themeColor="text1"/>
          <w:sz w:val="24"/>
          <w:szCs w:val="24"/>
          <w:lang w:eastAsia="zh-CN"/>
          <w14:textFill>
            <w14:solidFill>
              <w14:schemeClr w14:val="tx1"/>
            </w14:solidFill>
          </w14:textFill>
        </w:rPr>
        <w:t>。</w:t>
      </w:r>
    </w:p>
    <w:p>
      <w:pPr>
        <w:pStyle w:val="3"/>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ascii="宋体" w:hAnsi="宋体" w:cs="宋体"/>
          <w:color w:val="000000" w:themeColor="text1"/>
          <w:sz w:val="24"/>
          <w:szCs w:val="24"/>
          <w14:textFill>
            <w14:solidFill>
              <w14:schemeClr w14:val="tx1"/>
            </w14:solidFill>
          </w14:textFill>
        </w:rPr>
      </w:pPr>
      <w:r>
        <w:rPr>
          <w:rFonts w:ascii="宋体" w:hAnsi="宋体" w:cs="宋体"/>
          <w:b/>
          <w:color w:val="000000" w:themeColor="text1"/>
          <w:sz w:val="24"/>
          <w:szCs w:val="24"/>
          <w14:textFill>
            <w14:solidFill>
              <w14:schemeClr w14:val="tx1"/>
            </w14:solidFill>
          </w14:textFill>
        </w:rPr>
        <w:t>费用及支付</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0" w:firstLine="480" w:firstLineChars="200"/>
        <w:jc w:val="both"/>
        <w:textAlignment w:val="auto"/>
        <w:rPr>
          <w:rFonts w:hint="eastAsia" w:ascii="宋体" w:hAnsi="宋体" w:cs="宋体" w:eastAsiaTheme="minorEastAsia"/>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3.1.</w:t>
      </w:r>
      <w:r>
        <w:rPr>
          <w:rFonts w:hint="eastAsia" w:ascii="宋体" w:hAnsi="宋体" w:cs="宋体"/>
          <w:color w:val="auto"/>
          <w:sz w:val="24"/>
          <w:szCs w:val="24"/>
          <w:lang w:val="en-US" w:eastAsia="zh-CN"/>
        </w:rPr>
        <w:t>初次审查费用</w:t>
      </w:r>
      <w:r>
        <w:rPr>
          <w:rFonts w:ascii="宋体" w:hAnsi="宋体" w:cs="宋体"/>
          <w:color w:val="000000" w:themeColor="text1"/>
          <w:sz w:val="24"/>
          <w:szCs w:val="24"/>
          <w14:textFill>
            <w14:solidFill>
              <w14:schemeClr w14:val="tx1"/>
            </w14:solidFill>
          </w14:textFill>
        </w:rPr>
        <w:t>服务费</w:t>
      </w:r>
      <w:r>
        <w:rPr>
          <w:rFonts w:hint="eastAsia" w:ascii="宋体" w:hAnsi="宋体" w:cs="宋体"/>
          <w:color w:val="000000" w:themeColor="text1"/>
          <w:sz w:val="24"/>
          <w:szCs w:val="24"/>
          <w:lang w:val="en-US" w:eastAsia="zh-CN"/>
          <w14:textFill>
            <w14:solidFill>
              <w14:schemeClr w14:val="tx1"/>
            </w14:solidFill>
          </w14:textFill>
        </w:rPr>
        <w:t>用</w:t>
      </w:r>
      <w:r>
        <w:rPr>
          <w:rFonts w:ascii="宋体" w:hAnsi="宋体" w:cs="宋体"/>
          <w:color w:val="000000" w:themeColor="text1"/>
          <w:sz w:val="24"/>
          <w:szCs w:val="24"/>
          <w14:textFill>
            <w14:solidFill>
              <w14:schemeClr w14:val="tx1"/>
            </w14:solidFill>
          </w14:textFill>
        </w:rPr>
        <w:t>为人民币（大写）</w:t>
      </w:r>
      <w:r>
        <w:rPr>
          <w:rFonts w:hint="eastAsia" w:ascii="宋体" w:hAnsi="宋体" w:cs="宋体"/>
          <w:color w:val="000000" w:themeColor="text1"/>
          <w:sz w:val="24"/>
          <w:szCs w:val="24"/>
          <w:u w:val="single"/>
          <w:lang w:val="en-US" w:eastAsia="zh-CN"/>
          <w14:textFill>
            <w14:solidFill>
              <w14:schemeClr w14:val="tx1"/>
            </w14:solidFill>
          </w14:textFill>
        </w:rPr>
        <w:t>捌万伍仟柒佰</w:t>
      </w:r>
      <w:r>
        <w:rPr>
          <w:rFonts w:ascii="宋体" w:hAnsi="宋体" w:cs="宋体"/>
          <w:color w:val="000000" w:themeColor="text1"/>
          <w:sz w:val="24"/>
          <w:szCs w:val="24"/>
          <w14:textFill>
            <w14:solidFill>
              <w14:schemeClr w14:val="tx1"/>
            </w14:solidFill>
          </w14:textFill>
        </w:rPr>
        <w:t>元</w:t>
      </w:r>
      <w:r>
        <w:rPr>
          <w:rFonts w:hint="eastAsia" w:ascii="宋体" w:hAnsi="宋体" w:cs="宋体"/>
          <w:color w:val="000000" w:themeColor="text1"/>
          <w:sz w:val="24"/>
          <w:szCs w:val="24"/>
          <w:lang w:val="en-US" w:eastAsia="zh-CN"/>
          <w14:textFill>
            <w14:solidFill>
              <w14:schemeClr w14:val="tx1"/>
            </w14:solidFill>
          </w14:textFill>
        </w:rPr>
        <w:t>整</w:t>
      </w:r>
      <w:r>
        <w:rPr>
          <w:rFonts w:ascii="宋体" w:hAnsi="宋体" w:cs="宋体"/>
          <w:color w:val="000000" w:themeColor="text1"/>
          <w:sz w:val="24"/>
          <w:szCs w:val="24"/>
          <w14:textFill>
            <w14:solidFill>
              <w14:schemeClr w14:val="tx1"/>
            </w14:solidFill>
          </w14:textFill>
        </w:rPr>
        <w:t>（￥</w:t>
      </w:r>
      <w:r>
        <w:rPr>
          <w:rFonts w:ascii="宋体" w:hAnsi="宋体" w:cs="宋体"/>
          <w:color w:val="000000" w:themeColor="text1"/>
          <w:sz w:val="24"/>
          <w:szCs w:val="24"/>
          <w:u w:val="single"/>
          <w14:textFill>
            <w14:solidFill>
              <w14:schemeClr w14:val="tx1"/>
            </w14:solidFill>
          </w14:textFill>
        </w:rPr>
        <w:t> </w:t>
      </w:r>
      <w:r>
        <w:rPr>
          <w:rFonts w:hint="eastAsia" w:ascii="宋体" w:hAnsi="宋体" w:cs="宋体"/>
          <w:color w:val="000000" w:themeColor="text1"/>
          <w:sz w:val="24"/>
          <w:szCs w:val="24"/>
          <w:u w:val="single"/>
          <w:lang w:val="en-US" w:eastAsia="zh-CN"/>
          <w14:textFill>
            <w14:solidFill>
              <w14:schemeClr w14:val="tx1"/>
            </w14:solidFill>
          </w14:textFill>
        </w:rPr>
        <w:t>85700</w:t>
      </w:r>
      <w:r>
        <w:rPr>
          <w:rFonts w:ascii="宋体" w:hAnsi="宋体" w:cs="宋体"/>
          <w:color w:val="000000" w:themeColor="text1"/>
          <w:sz w:val="24"/>
          <w:szCs w:val="24"/>
          <w:u w:val="single"/>
          <w14:textFill>
            <w14:solidFill>
              <w14:schemeClr w14:val="tx1"/>
            </w14:solidFill>
          </w14:textFill>
        </w:rPr>
        <w:t> </w:t>
      </w:r>
      <w:r>
        <w:rPr>
          <w:rFonts w:ascii="宋体" w:hAnsi="宋体" w:cs="宋体"/>
          <w:color w:val="000000" w:themeColor="text1"/>
          <w:sz w:val="24"/>
          <w:szCs w:val="24"/>
          <w14:textFill>
            <w14:solidFill>
              <w14:schemeClr w14:val="tx1"/>
            </w14:solidFill>
          </w14:textFill>
        </w:rPr>
        <w:t>）</w:t>
      </w:r>
      <w:r>
        <w:rPr>
          <w:rFonts w:hint="eastAsia" w:ascii="宋体" w:hAnsi="宋体" w:cs="宋体"/>
          <w:color w:val="000000" w:themeColor="text1"/>
          <w:sz w:val="24"/>
          <w:szCs w:val="24"/>
          <w:lang w:eastAsia="zh-CN"/>
          <w14:textFill>
            <w14:solidFill>
              <w14:schemeClr w14:val="tx1"/>
            </w14:solidFill>
          </w14:textFill>
        </w:rPr>
        <w:t>。</w:t>
      </w:r>
    </w:p>
    <w:p>
      <w:pPr>
        <w:widowControl w:val="0"/>
        <w:spacing w:line="500" w:lineRule="exact"/>
        <w:rPr>
          <w:rFonts w:hint="eastAsia" w:ascii="宋体" w:hAnsi="宋体" w:cs="宋体"/>
          <w:b w:val="0"/>
          <w:bCs w:val="0"/>
          <w:color w:val="000000" w:themeColor="text1"/>
          <w:sz w:val="24"/>
          <w:szCs w:val="24"/>
          <w:lang w:val="en-US" w:eastAsia="zh-CN"/>
          <w14:textFill>
            <w14:solidFill>
              <w14:schemeClr w14:val="tx1"/>
            </w14:solidFill>
          </w14:textFill>
        </w:rPr>
      </w:pPr>
      <w:r>
        <w:rPr>
          <w:rFonts w:hint="eastAsia" w:ascii="宋体" w:hAnsi="宋体" w:cs="宋体"/>
          <w:b/>
          <w:color w:val="000000" w:themeColor="text1"/>
          <w:sz w:val="24"/>
          <w:szCs w:val="24"/>
          <w:lang w:val="en-US" w:eastAsia="zh-CN"/>
          <w14:textFill>
            <w14:solidFill>
              <w14:schemeClr w14:val="tx1"/>
            </w14:solidFill>
          </w14:textFill>
        </w:rPr>
        <w:t xml:space="preserve">    </w:t>
      </w:r>
      <w:r>
        <w:rPr>
          <w:rFonts w:hint="eastAsia" w:ascii="宋体" w:hAnsi="宋体" w:cs="宋体"/>
          <w:b w:val="0"/>
          <w:bCs w:val="0"/>
          <w:color w:val="000000" w:themeColor="text1"/>
          <w:sz w:val="24"/>
          <w:szCs w:val="24"/>
          <w:lang w:val="en-US" w:eastAsia="zh-CN"/>
          <w14:textFill>
            <w14:solidFill>
              <w14:schemeClr w14:val="tx1"/>
            </w14:solidFill>
          </w14:textFill>
        </w:rPr>
        <w:t>3.2.收费原则</w:t>
      </w:r>
    </w:p>
    <w:p>
      <w:pPr>
        <w:widowControl w:val="0"/>
        <w:spacing w:line="500" w:lineRule="exact"/>
        <w:ind w:firstLine="480" w:firstLineChars="200"/>
        <w:rPr>
          <w:rFonts w:hint="eastAsia" w:ascii="宋体" w:hAnsi="宋体" w:cs="宋体" w:eastAsiaTheme="minorEastAsia"/>
          <w:color w:val="000000" w:themeColor="text1"/>
          <w:szCs w:val="24"/>
          <w:lang w:val="en-US" w:eastAsia="zh-CN"/>
          <w14:textFill>
            <w14:solidFill>
              <w14:schemeClr w14:val="tx1"/>
            </w14:solidFill>
          </w14:textFill>
        </w:rPr>
      </w:pPr>
      <w:r>
        <w:rPr>
          <w:rFonts w:hint="eastAsia" w:ascii="宋体" w:hAnsi="宋体" w:cs="宋体"/>
          <w:b w:val="0"/>
          <w:bCs w:val="0"/>
          <w:color w:val="000000" w:themeColor="text1"/>
          <w:sz w:val="24"/>
          <w:szCs w:val="24"/>
          <w:lang w:val="en-US" w:eastAsia="zh-CN"/>
          <w14:textFill>
            <w14:solidFill>
              <w14:schemeClr w14:val="tx1"/>
            </w14:solidFill>
          </w14:textFill>
        </w:rPr>
        <w:t>本合同依据中国认证认可协会《认证机构公平竞争规范－认证价格自律规定》等相关文件，坚持“严格规范、科学合理”的原则，参考认证认可行业收费标准和价格，以成本测算为基础确定收费标准。</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jc w:val="both"/>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3.3.收费标准</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0" w:firstLine="480" w:firstLineChars="200"/>
        <w:jc w:val="both"/>
        <w:textAlignment w:val="auto"/>
        <w:rPr>
          <w:rFonts w:ascii="宋体" w:hAnsi="宋体" w:cs="宋体"/>
          <w:color w:val="auto"/>
          <w:sz w:val="24"/>
          <w:szCs w:val="24"/>
        </w:rPr>
      </w:pPr>
      <w:r>
        <w:rPr>
          <w:rFonts w:hint="eastAsia" w:ascii="宋体" w:hAnsi="宋体" w:cs="宋体"/>
          <w:color w:val="auto"/>
          <w:sz w:val="24"/>
          <w:szCs w:val="24"/>
          <w:lang w:val="en-US" w:eastAsia="zh-CN"/>
        </w:rPr>
        <w:t>3.3.1 初次审查费用收费标准</w:t>
      </w:r>
      <w:r>
        <w:rPr>
          <w:rFonts w:hint="eastAsia" w:ascii="宋体" w:hAnsi="宋体" w:cs="宋体"/>
          <w:color w:val="000000" w:themeColor="text1"/>
          <w:sz w:val="24"/>
          <w:szCs w:val="24"/>
          <w:u w:val="none"/>
          <w:lang w:val="en-US" w:eastAsia="zh-CN"/>
          <w14:textFill>
            <w14:solidFill>
              <w14:schemeClr w14:val="tx1"/>
            </w14:solidFill>
          </w14:textFill>
        </w:rPr>
        <w:t>捌万伍仟柒佰</w:t>
      </w:r>
      <w:r>
        <w:rPr>
          <w:rFonts w:ascii="宋体" w:hAnsi="宋体" w:cs="宋体"/>
          <w:color w:val="000000" w:themeColor="text1"/>
          <w:sz w:val="24"/>
          <w:szCs w:val="24"/>
          <w:u w:val="none"/>
          <w14:textFill>
            <w14:solidFill>
              <w14:schemeClr w14:val="tx1"/>
            </w14:solidFill>
          </w14:textFill>
        </w:rPr>
        <w:t>元</w:t>
      </w:r>
      <w:r>
        <w:rPr>
          <w:rFonts w:hint="eastAsia" w:ascii="宋体" w:hAnsi="宋体" w:cs="宋体"/>
          <w:color w:val="000000" w:themeColor="text1"/>
          <w:sz w:val="24"/>
          <w:szCs w:val="24"/>
          <w:u w:val="none"/>
          <w:lang w:val="en-US" w:eastAsia="zh-CN"/>
          <w14:textFill>
            <w14:solidFill>
              <w14:schemeClr w14:val="tx1"/>
            </w14:solidFill>
          </w14:textFill>
        </w:rPr>
        <w:t>整</w:t>
      </w:r>
      <w:r>
        <w:rPr>
          <w:rFonts w:ascii="宋体" w:hAnsi="宋体" w:cs="宋体"/>
          <w:color w:val="000000" w:themeColor="text1"/>
          <w:sz w:val="24"/>
          <w:szCs w:val="24"/>
          <w:u w:val="none"/>
          <w14:textFill>
            <w14:solidFill>
              <w14:schemeClr w14:val="tx1"/>
            </w14:solidFill>
          </w14:textFill>
        </w:rPr>
        <w:t>（￥</w:t>
      </w:r>
      <w:r>
        <w:rPr>
          <w:rFonts w:hint="eastAsia" w:ascii="宋体" w:hAnsi="宋体" w:cs="宋体"/>
          <w:color w:val="000000" w:themeColor="text1"/>
          <w:sz w:val="24"/>
          <w:szCs w:val="24"/>
          <w:u w:val="none"/>
          <w:lang w:val="en-US" w:eastAsia="zh-CN"/>
          <w14:textFill>
            <w14:solidFill>
              <w14:schemeClr w14:val="tx1"/>
            </w14:solidFill>
          </w14:textFill>
        </w:rPr>
        <w:t>85700元</w:t>
      </w:r>
      <w:r>
        <w:rPr>
          <w:rFonts w:ascii="宋体" w:hAnsi="宋体" w:cs="宋体"/>
          <w:color w:val="000000" w:themeColor="text1"/>
          <w:sz w:val="24"/>
          <w:szCs w:val="24"/>
          <w:u w:val="none"/>
          <w14:textFill>
            <w14:solidFill>
              <w14:schemeClr w14:val="tx1"/>
            </w14:solidFill>
          </w14:textFill>
        </w:rPr>
        <w:t>）</w:t>
      </w:r>
      <w:r>
        <w:rPr>
          <w:rFonts w:hint="eastAsia" w:ascii="宋体" w:hAnsi="宋体" w:cs="宋体"/>
          <w:color w:val="000000" w:themeColor="text1"/>
          <w:sz w:val="24"/>
          <w:szCs w:val="24"/>
          <w:u w:val="none"/>
          <w:lang w:eastAsia="zh-CN"/>
          <w14:textFill>
            <w14:solidFill>
              <w14:schemeClr w14:val="tx1"/>
            </w14:solidFill>
          </w14:textFill>
        </w:rPr>
        <w:t>（</w:t>
      </w:r>
      <w:r>
        <w:rPr>
          <w:rFonts w:hint="eastAsia" w:ascii="宋体" w:hAnsi="宋体" w:cs="宋体"/>
          <w:color w:val="000000" w:themeColor="text1"/>
          <w:sz w:val="24"/>
          <w:szCs w:val="24"/>
          <w:u w:val="none"/>
          <w:lang w:val="en-US" w:eastAsia="zh-CN"/>
          <w14:textFill>
            <w14:solidFill>
              <w14:schemeClr w14:val="tx1"/>
            </w14:solidFill>
          </w14:textFill>
        </w:rPr>
        <w:t>具</w:t>
      </w:r>
      <w:r>
        <w:rPr>
          <w:rFonts w:hint="eastAsia" w:ascii="宋体" w:hAnsi="宋体" w:cs="宋体"/>
          <w:color w:val="000000" w:themeColor="text1"/>
          <w:sz w:val="24"/>
          <w:szCs w:val="24"/>
          <w:lang w:val="en-US" w:eastAsia="zh-CN"/>
          <w14:textFill>
            <w14:solidFill>
              <w14:schemeClr w14:val="tx1"/>
            </w14:solidFill>
          </w14:textFill>
        </w:rPr>
        <w:t>体收费内容见附件一：</w:t>
      </w:r>
      <w:r>
        <w:rPr>
          <w:rFonts w:hint="eastAsia" w:ascii="宋体" w:hAnsi="宋体" w:cs="宋体"/>
          <w:color w:val="auto"/>
          <w:sz w:val="24"/>
          <w:szCs w:val="24"/>
          <w:lang w:val="en-US" w:eastAsia="zh-CN"/>
        </w:rPr>
        <w:t>初次审查费用收费标准表</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cs="宋体"/>
          <w:color w:val="auto"/>
          <w:sz w:val="24"/>
          <w:szCs w:val="24"/>
          <w:lang w:val="en-US" w:eastAsia="zh-CN"/>
        </w:rPr>
        <w:t xml:space="preserve"> </w:t>
      </w:r>
      <w:r>
        <w:rPr>
          <w:rFonts w:ascii="宋体" w:hAnsi="宋体" w:cs="宋体"/>
          <w:color w:val="auto"/>
          <w:sz w:val="24"/>
          <w:szCs w:val="24"/>
        </w:rPr>
        <w:t>上述费用为含税价格，包含咨询服务费、</w:t>
      </w:r>
      <w:r>
        <w:rPr>
          <w:rFonts w:hint="eastAsia" w:ascii="宋体" w:hAnsi="宋体" w:cs="宋体"/>
          <w:color w:val="auto"/>
          <w:sz w:val="24"/>
          <w:szCs w:val="24"/>
          <w:lang w:val="en-US" w:eastAsia="zh-CN"/>
        </w:rPr>
        <w:t>认证</w:t>
      </w:r>
      <w:r>
        <w:rPr>
          <w:rFonts w:ascii="宋体" w:hAnsi="宋体" w:cs="宋体"/>
          <w:color w:val="auto"/>
          <w:sz w:val="24"/>
          <w:szCs w:val="24"/>
        </w:rPr>
        <w:t>审核</w:t>
      </w:r>
      <w:r>
        <w:rPr>
          <w:rFonts w:hint="eastAsia" w:ascii="宋体" w:hAnsi="宋体" w:cs="宋体"/>
          <w:color w:val="auto"/>
          <w:sz w:val="24"/>
          <w:szCs w:val="24"/>
          <w:lang w:eastAsia="zh-CN"/>
        </w:rPr>
        <w:t>/检</w:t>
      </w:r>
      <w:r>
        <w:rPr>
          <w:rFonts w:hint="eastAsia" w:ascii="宋体" w:hAnsi="宋体" w:cs="宋体"/>
          <w:color w:val="auto"/>
          <w:sz w:val="24"/>
          <w:szCs w:val="24"/>
          <w:lang w:val="en-US" w:eastAsia="zh-CN"/>
        </w:rPr>
        <w:t>查</w:t>
      </w:r>
      <w:r>
        <w:rPr>
          <w:rFonts w:ascii="宋体" w:hAnsi="宋体" w:cs="宋体"/>
          <w:color w:val="auto"/>
          <w:sz w:val="24"/>
          <w:szCs w:val="24"/>
        </w:rPr>
        <w:t>费及相关税费、咨询阶段及认证机构现场审核阶段的全部的差旅食宿费用。</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0" w:firstLine="480" w:firstLineChars="200"/>
        <w:jc w:val="both"/>
        <w:textAlignment w:val="auto"/>
        <w:rPr>
          <w:rFonts w:hint="eastAsia" w:ascii="宋体" w:hAnsi="宋体" w:cs="宋体"/>
          <w:color w:val="auto"/>
          <w:sz w:val="24"/>
          <w:szCs w:val="24"/>
          <w:lang w:val="en-US" w:eastAsia="zh-CN"/>
        </w:rPr>
      </w:pPr>
      <w:r>
        <w:rPr>
          <w:rFonts w:hint="eastAsia" w:ascii="宋体" w:hAnsi="宋体" w:cs="宋体"/>
          <w:color w:val="auto"/>
          <w:szCs w:val="24"/>
        </w:rPr>
        <w:t>3.3.2第二年、第三年监督审查费用收费标准每年壹万陆仟陆佰元（¥16600元）</w:t>
      </w:r>
      <w:r>
        <w:rPr>
          <w:rFonts w:hint="eastAsia" w:ascii="宋体" w:hAnsi="宋体" w:cs="宋体"/>
          <w:color w:val="000000" w:themeColor="text1"/>
          <w:sz w:val="24"/>
          <w:szCs w:val="24"/>
          <w:u w:val="none"/>
          <w:lang w:eastAsia="zh-CN"/>
          <w14:textFill>
            <w14:solidFill>
              <w14:schemeClr w14:val="tx1"/>
            </w14:solidFill>
          </w14:textFill>
        </w:rPr>
        <w:t>（</w:t>
      </w:r>
      <w:r>
        <w:rPr>
          <w:rFonts w:hint="eastAsia" w:ascii="宋体" w:hAnsi="宋体" w:cs="宋体"/>
          <w:color w:val="000000" w:themeColor="text1"/>
          <w:sz w:val="24"/>
          <w:szCs w:val="24"/>
          <w:u w:val="none"/>
          <w:lang w:val="en-US" w:eastAsia="zh-CN"/>
          <w14:textFill>
            <w14:solidFill>
              <w14:schemeClr w14:val="tx1"/>
            </w14:solidFill>
          </w14:textFill>
        </w:rPr>
        <w:t>具</w:t>
      </w:r>
      <w:r>
        <w:rPr>
          <w:rFonts w:hint="eastAsia" w:ascii="宋体" w:hAnsi="宋体" w:cs="宋体"/>
          <w:color w:val="000000" w:themeColor="text1"/>
          <w:sz w:val="24"/>
          <w:szCs w:val="24"/>
          <w:lang w:val="en-US" w:eastAsia="zh-CN"/>
          <w14:textFill>
            <w14:solidFill>
              <w14:schemeClr w14:val="tx1"/>
            </w14:solidFill>
          </w14:textFill>
        </w:rPr>
        <w:t>体收费内容见附件二：</w:t>
      </w:r>
      <w:r>
        <w:rPr>
          <w:rFonts w:hint="eastAsia" w:ascii="宋体" w:hAnsi="宋体" w:cs="宋体"/>
          <w:color w:val="auto"/>
          <w:sz w:val="24"/>
          <w:szCs w:val="24"/>
          <w:lang w:val="en-US" w:eastAsia="zh-CN"/>
        </w:rPr>
        <w:t>监督审查费用收费标准表</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cs="宋体"/>
          <w:color w:val="auto"/>
          <w:szCs w:val="24"/>
        </w:rPr>
        <w:t>甲方取得认证注册资格后，在证书有效期内应接受乙方的监督审查以保持证书的有效性；甲方获证之日起每12个月内接受一次监督审查，如甲方未按规定接受监督审查将被暂停直至撤销认证注册资格，监督审查费用按照年度收费，其中认证证书铜牌如需更新，则单独收费。</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3.4.</w:t>
      </w:r>
      <w:r>
        <w:rPr>
          <w:rFonts w:ascii="宋体" w:hAnsi="宋体" w:cs="宋体"/>
          <w:color w:val="000000" w:themeColor="text1"/>
          <w:sz w:val="24"/>
          <w:szCs w:val="24"/>
          <w14:textFill>
            <w14:solidFill>
              <w14:schemeClr w14:val="tx1"/>
            </w14:solidFill>
          </w14:textFill>
        </w:rPr>
        <w:t>再认证</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根据《</w:t>
      </w:r>
      <w:r>
        <w:rPr>
          <w:rFonts w:hint="eastAsia" w:ascii="宋体" w:hAnsi="宋体" w:cs="宋体"/>
          <w:color w:val="000000" w:themeColor="text1"/>
          <w:sz w:val="24"/>
          <w:szCs w:val="24"/>
          <w:lang w:val="en-US" w:eastAsia="zh-CN"/>
          <w14:textFill>
            <w14:solidFill>
              <w14:schemeClr w14:val="tx1"/>
            </w14:solidFill>
          </w14:textFill>
        </w:rPr>
        <w:t>健康学校</w:t>
      </w:r>
      <w:r>
        <w:rPr>
          <w:rFonts w:ascii="宋体" w:hAnsi="宋体" w:cs="宋体"/>
          <w:color w:val="000000" w:themeColor="text1"/>
          <w:sz w:val="24"/>
          <w:szCs w:val="24"/>
          <w14:textFill>
            <w14:solidFill>
              <w14:schemeClr w14:val="tx1"/>
            </w14:solidFill>
          </w14:textFill>
        </w:rPr>
        <w:t>认证规则》，被授予认证对象有效期满申请再认证，认证审查费按初次认证审查费标准的70%收取，其他项目标准不变。</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jc w:val="both"/>
        <w:textAlignment w:val="auto"/>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3.5.</w:t>
      </w:r>
      <w:r>
        <w:rPr>
          <w:rFonts w:ascii="宋体" w:hAnsi="宋体" w:cs="宋体"/>
          <w:color w:val="000000" w:themeColor="text1"/>
          <w:sz w:val="24"/>
          <w:szCs w:val="24"/>
          <w14:textFill>
            <w14:solidFill>
              <w14:schemeClr w14:val="tx1"/>
            </w14:solidFill>
          </w14:textFill>
        </w:rPr>
        <w:t>支付</w:t>
      </w:r>
      <w:r>
        <w:rPr>
          <w:rFonts w:hint="eastAsia" w:ascii="宋体" w:hAnsi="宋体" w:cs="宋体"/>
          <w:color w:val="000000" w:themeColor="text1"/>
          <w:sz w:val="24"/>
          <w:szCs w:val="24"/>
          <w:lang w:val="en-US" w:eastAsia="zh-CN"/>
          <w14:textFill>
            <w14:solidFill>
              <w14:schemeClr w14:val="tx1"/>
            </w14:solidFill>
          </w14:textFill>
        </w:rPr>
        <w:t>时间</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default" w:ascii="宋体" w:hAnsi="宋体" w:eastAsia="宋体" w:cs="宋体"/>
          <w:color w:val="000000" w:themeColor="text1"/>
          <w:sz w:val="24"/>
          <w:szCs w:val="24"/>
          <w:lang w:val="en-US" w:eastAsia="zh-CN"/>
          <w14:textFill>
            <w14:solidFill>
              <w14:schemeClr w14:val="tx1"/>
            </w14:solidFill>
          </w14:textFill>
        </w:rPr>
      </w:pPr>
      <w:r>
        <w:rPr>
          <w:rFonts w:ascii="宋体" w:hAnsi="宋体" w:cs="宋体"/>
          <w:color w:val="000000" w:themeColor="text1"/>
          <w:sz w:val="24"/>
          <w:szCs w:val="24"/>
          <w14:textFill>
            <w14:solidFill>
              <w14:schemeClr w14:val="tx1"/>
            </w14:solidFill>
          </w14:textFill>
        </w:rPr>
        <w:t>甲方</w:t>
      </w:r>
      <w:r>
        <w:rPr>
          <w:rFonts w:hint="eastAsia" w:ascii="宋体" w:hAnsi="宋体" w:cs="宋体"/>
          <w:color w:val="000000" w:themeColor="text1"/>
          <w:sz w:val="24"/>
          <w:szCs w:val="24"/>
          <w:lang w:val="en-US" w:eastAsia="zh-CN"/>
          <w14:textFill>
            <w14:solidFill>
              <w14:schemeClr w14:val="tx1"/>
            </w14:solidFill>
          </w14:textFill>
        </w:rPr>
        <w:t>应当自本合同签订后</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个工作日支付</w:t>
      </w:r>
      <w:r>
        <w:rPr>
          <w:rFonts w:hint="eastAsia" w:ascii="宋体" w:hAnsi="宋体" w:cs="宋体"/>
          <w:color w:val="auto"/>
          <w:sz w:val="24"/>
          <w:szCs w:val="24"/>
          <w:lang w:val="en-US" w:eastAsia="zh-CN"/>
        </w:rPr>
        <w:t>初次审查</w:t>
      </w:r>
      <w:r>
        <w:rPr>
          <w:rFonts w:hint="eastAsia" w:ascii="宋体" w:hAnsi="宋体" w:cs="宋体"/>
          <w:color w:val="000000" w:themeColor="text1"/>
          <w:sz w:val="24"/>
          <w:szCs w:val="24"/>
          <w:lang w:val="en-US" w:eastAsia="zh-CN"/>
          <w14:textFill>
            <w14:solidFill>
              <w14:schemeClr w14:val="tx1"/>
            </w14:solidFill>
          </w14:textFill>
        </w:rPr>
        <w:t>费用。</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jc w:val="both"/>
        <w:textAlignment w:val="auto"/>
        <w:rPr>
          <w:rFonts w:hint="default" w:ascii="宋体" w:hAnsi="宋体" w:cs="宋体"/>
          <w:color w:val="000000" w:themeColor="text1"/>
          <w:sz w:val="24"/>
          <w:szCs w:val="24"/>
          <w:lang w:val="en-US"/>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3.6.乙方收款信息</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themeColor="text1"/>
          <w:sz w:val="24"/>
          <w:szCs w:val="24"/>
          <w:u w:val="single"/>
          <w14:textFill>
            <w14:solidFill>
              <w14:schemeClr w14:val="tx1"/>
            </w14:solidFill>
          </w14:textFill>
        </w:rPr>
      </w:pPr>
      <w:r>
        <w:rPr>
          <w:rFonts w:ascii="宋体" w:hAnsi="宋体" w:cs="宋体"/>
          <w:color w:val="000000" w:themeColor="text1"/>
          <w:sz w:val="24"/>
          <w:szCs w:val="24"/>
          <w14:textFill>
            <w14:solidFill>
              <w14:schemeClr w14:val="tx1"/>
            </w14:solidFill>
          </w14:textFill>
        </w:rPr>
        <w:t>户名：</w:t>
      </w:r>
      <w:r>
        <w:rPr>
          <w:rFonts w:ascii="宋体" w:hAnsi="宋体" w:cs="宋体"/>
          <w:color w:val="000000" w:themeColor="text1"/>
          <w:sz w:val="24"/>
          <w:szCs w:val="24"/>
          <w:u w:val="single"/>
          <w14:textFill>
            <w14:solidFill>
              <w14:schemeClr w14:val="tx1"/>
            </w14:solidFill>
          </w14:textFill>
        </w:rPr>
        <w:t>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themeColor="text1"/>
          <w:sz w:val="24"/>
          <w:szCs w:val="24"/>
          <w:u w:val="single"/>
          <w14:textFill>
            <w14:solidFill>
              <w14:schemeClr w14:val="tx1"/>
            </w14:solidFill>
          </w14:textFill>
        </w:rPr>
      </w:pPr>
      <w:r>
        <w:rPr>
          <w:rFonts w:ascii="宋体" w:hAnsi="宋体" w:cs="宋体"/>
          <w:color w:val="000000" w:themeColor="text1"/>
          <w:sz w:val="24"/>
          <w:szCs w:val="24"/>
          <w14:textFill>
            <w14:solidFill>
              <w14:schemeClr w14:val="tx1"/>
            </w14:solidFill>
          </w14:textFill>
        </w:rPr>
        <w:t>开户</w:t>
      </w:r>
      <w:r>
        <w:rPr>
          <w:rFonts w:hint="eastAsia" w:ascii="宋体" w:hAnsi="宋体" w:cs="宋体"/>
          <w:color w:val="000000" w:themeColor="text1"/>
          <w:sz w:val="24"/>
          <w:szCs w:val="24"/>
          <w:lang w:val="en-US" w:eastAsia="zh-CN"/>
          <w14:textFill>
            <w14:solidFill>
              <w14:schemeClr w14:val="tx1"/>
            </w14:solidFill>
          </w14:textFill>
        </w:rPr>
        <w:t>银</w:t>
      </w:r>
      <w:r>
        <w:rPr>
          <w:rFonts w:ascii="宋体" w:hAnsi="宋体" w:cs="宋体"/>
          <w:color w:val="000000" w:themeColor="text1"/>
          <w:sz w:val="24"/>
          <w:szCs w:val="24"/>
          <w14:textFill>
            <w14:solidFill>
              <w14:schemeClr w14:val="tx1"/>
            </w14:solidFill>
          </w14:textFill>
        </w:rPr>
        <w:t>行：</w:t>
      </w:r>
      <w:r>
        <w:rPr>
          <w:rFonts w:ascii="宋体" w:hAnsi="宋体" w:cs="宋体"/>
          <w:color w:val="000000" w:themeColor="text1"/>
          <w:sz w:val="24"/>
          <w:szCs w:val="24"/>
          <w:u w:val="single"/>
          <w14:textFill>
            <w14:solidFill>
              <w14:schemeClr w14:val="tx1"/>
            </w14:solidFill>
          </w14:textFill>
        </w:rPr>
        <w:t>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账号：</w:t>
      </w:r>
      <w:r>
        <w:rPr>
          <w:rFonts w:ascii="宋体" w:hAnsi="宋体" w:cs="宋体"/>
          <w:color w:val="000000" w:themeColor="text1"/>
          <w:sz w:val="24"/>
          <w:szCs w:val="24"/>
          <w:u w:val="single"/>
          <w14:textFill>
            <w14:solidFill>
              <w14:schemeClr w14:val="tx1"/>
            </w14:solidFill>
          </w14:textFill>
        </w:rPr>
        <w:t>        </w:t>
      </w:r>
    </w:p>
    <w:p>
      <w:pPr>
        <w:pStyle w:val="15"/>
        <w:keepNext w:val="0"/>
        <w:keepLines w:val="0"/>
        <w:pageBreakBefore w:val="0"/>
        <w:widowControl w:val="0"/>
        <w:numPr>
          <w:ilvl w:val="0"/>
          <w:numId w:val="0"/>
        </w:numPr>
        <w:shd w:val="clear" w:color="auto" w:fill="auto"/>
        <w:tabs>
          <w:tab w:val="left" w:pos="800"/>
        </w:tabs>
        <w:kinsoku/>
        <w:wordWrap/>
        <w:overflowPunct/>
        <w:topLinePunct w:val="0"/>
        <w:autoSpaceDE/>
        <w:autoSpaceDN/>
        <w:bidi w:val="0"/>
        <w:adjustRightInd/>
        <w:snapToGrid/>
        <w:spacing w:before="0" w:after="0" w:line="500" w:lineRule="exact"/>
        <w:ind w:left="500" w:leftChars="0" w:right="0" w:rightChars="0"/>
        <w:jc w:val="both"/>
        <w:textAlignment w:val="auto"/>
        <w:rPr>
          <w:rFonts w:hint="eastAsia" w:ascii="宋体" w:hAnsi="宋体" w:cs="宋体" w:eastAsiaTheme="minorEastAsia"/>
          <w:color w:val="000000" w:themeColor="text1"/>
          <w:sz w:val="24"/>
          <w:szCs w:val="24"/>
          <w:u w:val="none"/>
          <w:shd w:val="clear"/>
          <w:lang w:val="en-US" w:eastAsia="zh-CN"/>
          <w14:textFill>
            <w14:solidFill>
              <w14:schemeClr w14:val="tx1"/>
            </w14:solidFill>
          </w14:textFill>
        </w:rPr>
      </w:pPr>
      <w:r>
        <w:rPr>
          <w:rFonts w:hint="eastAsia" w:cs="宋体" w:eastAsiaTheme="minorEastAsia"/>
          <w:color w:val="000000" w:themeColor="text1"/>
          <w:sz w:val="24"/>
          <w:szCs w:val="24"/>
          <w:u w:val="none"/>
          <w:shd w:val="clear"/>
          <w:lang w:val="en-US" w:eastAsia="zh-CN"/>
          <w14:textFill>
            <w14:solidFill>
              <w14:schemeClr w14:val="tx1"/>
            </w14:solidFill>
          </w14:textFill>
        </w:rPr>
        <w:t>乙</w:t>
      </w:r>
      <w:r>
        <w:rPr>
          <w:rFonts w:hint="eastAsia" w:ascii="宋体" w:hAnsi="宋体" w:cs="宋体" w:eastAsiaTheme="minorEastAsia"/>
          <w:color w:val="000000" w:themeColor="text1"/>
          <w:sz w:val="24"/>
          <w:szCs w:val="24"/>
          <w:u w:val="none"/>
          <w:shd w:val="clear"/>
          <w:lang w:val="en-US" w:eastAsia="zh-CN"/>
          <w14:textFill>
            <w14:solidFill>
              <w14:schemeClr w14:val="tx1"/>
            </w14:solidFill>
          </w14:textFill>
        </w:rPr>
        <w:t>方未授权任何员工、第三方收款，</w:t>
      </w:r>
      <w:r>
        <w:rPr>
          <w:rFonts w:hint="eastAsia" w:cs="宋体" w:eastAsiaTheme="minorEastAsia"/>
          <w:color w:val="000000" w:themeColor="text1"/>
          <w:sz w:val="24"/>
          <w:szCs w:val="24"/>
          <w:u w:val="none"/>
          <w:shd w:val="clear"/>
          <w:lang w:val="en-US" w:eastAsia="zh-CN"/>
          <w14:textFill>
            <w14:solidFill>
              <w14:schemeClr w14:val="tx1"/>
            </w14:solidFill>
          </w14:textFill>
        </w:rPr>
        <w:t>甲</w:t>
      </w:r>
      <w:r>
        <w:rPr>
          <w:rFonts w:hint="eastAsia" w:ascii="宋体" w:hAnsi="宋体" w:cs="宋体" w:eastAsiaTheme="minorEastAsia"/>
          <w:color w:val="000000" w:themeColor="text1"/>
          <w:sz w:val="24"/>
          <w:szCs w:val="24"/>
          <w:u w:val="none"/>
          <w:shd w:val="clear"/>
          <w:lang w:val="en-US" w:eastAsia="zh-CN"/>
          <w14:textFill>
            <w14:solidFill>
              <w14:schemeClr w14:val="tx1"/>
            </w14:solidFill>
          </w14:textFill>
        </w:rPr>
        <w:t>方未向上述指定账号付款产生的任何损失，由</w:t>
      </w:r>
      <w:r>
        <w:rPr>
          <w:rFonts w:hint="eastAsia" w:cs="宋体" w:eastAsiaTheme="minorEastAsia"/>
          <w:color w:val="000000" w:themeColor="text1"/>
          <w:sz w:val="24"/>
          <w:szCs w:val="24"/>
          <w:u w:val="none"/>
          <w:shd w:val="clear"/>
          <w:lang w:val="en-US" w:eastAsia="zh-CN"/>
          <w14:textFill>
            <w14:solidFill>
              <w14:schemeClr w14:val="tx1"/>
            </w14:solidFill>
          </w14:textFill>
        </w:rPr>
        <w:t>甲</w:t>
      </w:r>
      <w:r>
        <w:rPr>
          <w:rFonts w:hint="eastAsia" w:ascii="宋体" w:hAnsi="宋体" w:cs="宋体" w:eastAsiaTheme="minorEastAsia"/>
          <w:color w:val="000000" w:themeColor="text1"/>
          <w:sz w:val="24"/>
          <w:szCs w:val="24"/>
          <w:u w:val="none"/>
          <w:shd w:val="clear"/>
          <w:lang w:val="en-US" w:eastAsia="zh-CN"/>
          <w14:textFill>
            <w14:solidFill>
              <w14:schemeClr w14:val="tx1"/>
            </w14:solidFill>
          </w14:textFill>
        </w:rPr>
        <w:t>方自行负责，</w:t>
      </w:r>
      <w:r>
        <w:rPr>
          <w:rFonts w:hint="eastAsia" w:cs="宋体" w:eastAsiaTheme="minorEastAsia"/>
          <w:color w:val="000000" w:themeColor="text1"/>
          <w:sz w:val="24"/>
          <w:szCs w:val="24"/>
          <w:u w:val="none"/>
          <w:shd w:val="clear"/>
          <w:lang w:val="en-US" w:eastAsia="zh-CN"/>
          <w14:textFill>
            <w14:solidFill>
              <w14:schemeClr w14:val="tx1"/>
            </w14:solidFill>
          </w14:textFill>
        </w:rPr>
        <w:t>乙</w:t>
      </w:r>
      <w:r>
        <w:rPr>
          <w:rFonts w:hint="eastAsia" w:ascii="宋体" w:hAnsi="宋体" w:cs="宋体" w:eastAsiaTheme="minorEastAsia"/>
          <w:color w:val="000000" w:themeColor="text1"/>
          <w:sz w:val="24"/>
          <w:szCs w:val="24"/>
          <w:u w:val="none"/>
          <w:shd w:val="clear"/>
          <w:lang w:val="en-US" w:eastAsia="zh-CN"/>
          <w14:textFill>
            <w14:solidFill>
              <w14:schemeClr w14:val="tx1"/>
            </w14:solidFill>
          </w14:textFill>
        </w:rPr>
        <w:t>方不承担任何责任。</w:t>
      </w:r>
    </w:p>
    <w:p>
      <w:pPr>
        <w:pStyle w:val="15"/>
        <w:keepNext w:val="0"/>
        <w:keepLines w:val="0"/>
        <w:pageBreakBefore w:val="0"/>
        <w:widowControl w:val="0"/>
        <w:numPr>
          <w:ilvl w:val="0"/>
          <w:numId w:val="0"/>
        </w:numPr>
        <w:shd w:val="clear" w:color="auto" w:fill="auto"/>
        <w:tabs>
          <w:tab w:val="left" w:pos="800"/>
        </w:tabs>
        <w:kinsoku/>
        <w:wordWrap/>
        <w:overflowPunct/>
        <w:topLinePunct w:val="0"/>
        <w:autoSpaceDE/>
        <w:autoSpaceDN/>
        <w:bidi w:val="0"/>
        <w:adjustRightInd/>
        <w:snapToGrid/>
        <w:spacing w:before="0" w:after="0" w:line="500" w:lineRule="exact"/>
        <w:ind w:left="500" w:leftChars="0" w:right="0" w:rightChars="0"/>
        <w:jc w:val="both"/>
        <w:textAlignment w:val="auto"/>
        <w:rPr>
          <w:rFonts w:hint="eastAsia" w:ascii="宋体" w:hAnsi="宋体" w:cs="宋体" w:eastAsiaTheme="minorEastAsia"/>
          <w:color w:val="000000" w:themeColor="text1"/>
          <w:sz w:val="24"/>
          <w:szCs w:val="24"/>
          <w:u w:val="none"/>
          <w:shd w:val="clear"/>
          <w:lang w:val="en-US" w:eastAsia="zh-CN"/>
          <w14:textFill>
            <w14:solidFill>
              <w14:schemeClr w14:val="tx1"/>
            </w14:solidFill>
          </w14:textFill>
        </w:rPr>
      </w:pPr>
      <w:r>
        <w:rPr>
          <w:rFonts w:hint="eastAsia" w:cs="宋体" w:eastAsiaTheme="minorEastAsia"/>
          <w:color w:val="000000" w:themeColor="text1"/>
          <w:sz w:val="24"/>
          <w:szCs w:val="24"/>
          <w:u w:val="none"/>
          <w:shd w:val="clear"/>
          <w:lang w:val="en-US" w:eastAsia="zh-CN"/>
          <w14:textFill>
            <w14:solidFill>
              <w14:schemeClr w14:val="tx1"/>
            </w14:solidFill>
          </w14:textFill>
        </w:rPr>
        <w:t>3.7</w:t>
      </w:r>
      <w:r>
        <w:rPr>
          <w:rFonts w:hint="eastAsia" w:ascii="宋体" w:hAnsi="宋体" w:cs="宋体" w:eastAsiaTheme="minorEastAsia"/>
          <w:color w:val="000000" w:themeColor="text1"/>
          <w:sz w:val="24"/>
          <w:szCs w:val="24"/>
          <w:u w:val="none"/>
          <w:shd w:val="clear"/>
          <w:lang w:val="en-US" w:eastAsia="zh-CN"/>
          <w14:textFill>
            <w14:solidFill>
              <w14:schemeClr w14:val="tx1"/>
            </w14:solidFill>
          </w14:textFill>
        </w:rPr>
        <w:t>发票信息</w:t>
      </w:r>
    </w:p>
    <w:p>
      <w:pPr>
        <w:pStyle w:val="15"/>
        <w:keepNext w:val="0"/>
        <w:keepLines w:val="0"/>
        <w:pageBreakBefore w:val="0"/>
        <w:widowControl w:val="0"/>
        <w:numPr>
          <w:ilvl w:val="0"/>
          <w:numId w:val="0"/>
        </w:numPr>
        <w:shd w:val="clear" w:color="auto" w:fill="auto"/>
        <w:tabs>
          <w:tab w:val="left" w:pos="800"/>
        </w:tabs>
        <w:kinsoku/>
        <w:wordWrap/>
        <w:overflowPunct/>
        <w:topLinePunct w:val="0"/>
        <w:autoSpaceDE/>
        <w:autoSpaceDN/>
        <w:bidi w:val="0"/>
        <w:adjustRightInd/>
        <w:snapToGrid/>
        <w:spacing w:before="0" w:after="0" w:line="500" w:lineRule="exact"/>
        <w:ind w:left="500" w:leftChars="0" w:right="0" w:rightChars="0"/>
        <w:jc w:val="both"/>
        <w:textAlignment w:val="auto"/>
        <w:rPr>
          <w:rFonts w:hint="eastAsia" w:ascii="宋体" w:hAnsi="宋体" w:cs="宋体" w:eastAsiaTheme="minorEastAsia"/>
          <w:color w:val="000000" w:themeColor="text1"/>
          <w:sz w:val="24"/>
          <w:szCs w:val="24"/>
          <w:u w:val="none"/>
          <w:shd w:val="clear"/>
          <w:lang w:val="en-US" w:eastAsia="zh-CN"/>
          <w14:textFill>
            <w14:solidFill>
              <w14:schemeClr w14:val="tx1"/>
            </w14:solidFill>
          </w14:textFill>
        </w:rPr>
      </w:pPr>
      <w:r>
        <w:rPr>
          <w:rFonts w:hint="eastAsia" w:ascii="宋体" w:hAnsi="宋体" w:cs="宋体" w:eastAsiaTheme="minorEastAsia"/>
          <w:color w:val="000000" w:themeColor="text1"/>
          <w:sz w:val="24"/>
          <w:szCs w:val="24"/>
          <w:u w:val="none"/>
          <w:shd w:val="clear"/>
          <w:lang w:val="en-US" w:eastAsia="zh-CN"/>
          <w14:textFill>
            <w14:solidFill>
              <w14:schemeClr w14:val="tx1"/>
            </w14:solidFill>
          </w14:textFill>
        </w:rPr>
        <w:t>需要发票类型</w:t>
      </w:r>
      <w:r>
        <w:rPr>
          <w:rFonts w:hint="eastAsia" w:ascii="宋体" w:hAnsi="宋体" w:cs="宋体" w:eastAsiaTheme="minorEastAsia"/>
          <w:color w:val="000000" w:themeColor="text1"/>
          <w:sz w:val="24"/>
          <w:szCs w:val="24"/>
          <w:u w:val="none"/>
          <w:shd w:val="clear"/>
          <w:lang w:val="en-US" w:eastAsia="zh-CN"/>
          <w14:textFill>
            <w14:solidFill>
              <w14:schemeClr w14:val="tx1"/>
            </w14:solidFill>
          </w14:textFill>
        </w:rPr>
        <w:tab/>
      </w:r>
      <w:r>
        <w:rPr>
          <w:rFonts w:hint="eastAsia" w:ascii="宋体" w:hAnsi="宋体" w:cs="宋体" w:eastAsiaTheme="minorEastAsia"/>
          <w:color w:val="000000" w:themeColor="text1"/>
          <w:sz w:val="24"/>
          <w:szCs w:val="24"/>
          <w:u w:val="none"/>
          <w:shd w:val="clear"/>
          <w:lang w:val="en-US" w:eastAsia="zh-CN"/>
          <w14:textFill>
            <w14:solidFill>
              <w14:schemeClr w14:val="tx1"/>
            </w14:solidFill>
          </w14:textFill>
        </w:rPr>
        <w:t>□ 增值税普通发票</w:t>
      </w:r>
      <w:r>
        <w:rPr>
          <w:rFonts w:hint="eastAsia" w:ascii="宋体" w:hAnsi="宋体" w:cs="宋体" w:eastAsiaTheme="minorEastAsia"/>
          <w:color w:val="000000" w:themeColor="text1"/>
          <w:sz w:val="24"/>
          <w:szCs w:val="24"/>
          <w:u w:val="none"/>
          <w:shd w:val="clear"/>
          <w:lang w:val="en-US" w:eastAsia="zh-CN"/>
          <w14:textFill>
            <w14:solidFill>
              <w14:schemeClr w14:val="tx1"/>
            </w14:solidFill>
          </w14:textFill>
        </w:rPr>
        <w:tab/>
      </w:r>
      <w:r>
        <w:rPr>
          <w:rFonts w:hint="eastAsia" w:ascii="宋体" w:hAnsi="宋体" w:cs="宋体" w:eastAsiaTheme="minorEastAsia"/>
          <w:color w:val="000000" w:themeColor="text1"/>
          <w:sz w:val="24"/>
          <w:szCs w:val="24"/>
          <w:u w:val="none"/>
          <w:shd w:val="clear"/>
          <w:lang w:val="en-US" w:eastAsia="zh-CN"/>
          <w14:textFill>
            <w14:solidFill>
              <w14:schemeClr w14:val="tx1"/>
            </w14:solidFill>
          </w14:textFill>
        </w:rPr>
        <w:tab/>
      </w:r>
      <w:r>
        <w:rPr>
          <w:rFonts w:hint="eastAsia" w:ascii="宋体" w:hAnsi="宋体" w:cs="宋体" w:eastAsiaTheme="minorEastAsia"/>
          <w:color w:val="000000" w:themeColor="text1"/>
          <w:sz w:val="24"/>
          <w:szCs w:val="24"/>
          <w:u w:val="none"/>
          <w:shd w:val="clear"/>
          <w:lang w:val="en-US" w:eastAsia="zh-CN"/>
          <w14:textFill>
            <w14:solidFill>
              <w14:schemeClr w14:val="tx1"/>
            </w14:solidFill>
          </w14:textFill>
        </w:rPr>
        <w:t>□ 增值税专用发票</w:t>
      </w:r>
    </w:p>
    <w:p>
      <w:pPr>
        <w:pStyle w:val="3"/>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甲方权利与义务</w:t>
      </w:r>
    </w:p>
    <w:p>
      <w:pPr>
        <w:widowControl w:val="0"/>
        <w:spacing w:line="500" w:lineRule="exact"/>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 xml:space="preserve">    4.1.遵守国家法律法规和有关认证规定；</w:t>
      </w:r>
    </w:p>
    <w:p>
      <w:pPr>
        <w:widowControl w:val="0"/>
        <w:spacing w:line="500" w:lineRule="exact"/>
        <w:ind w:firstLine="480" w:firstLineChars="200"/>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4.2.获得认证后持续有效运行管理/服务体系；</w:t>
      </w:r>
    </w:p>
    <w:p>
      <w:pPr>
        <w:widowControl w:val="0"/>
        <w:spacing w:line="500" w:lineRule="exact"/>
        <w:ind w:firstLine="480" w:firstLineChars="200"/>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4.3.甲方有权对乙方选派的审核/审查组成员提出书面异议；</w:t>
      </w:r>
    </w:p>
    <w:p>
      <w:pPr>
        <w:widowControl w:val="0"/>
        <w:spacing w:line="500" w:lineRule="exact"/>
        <w:ind w:firstLine="480" w:firstLineChars="200"/>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4.4.甲方具有对外正确宣传其获得管理体系认证/服务认证注册资格的权利，具有正确使用其管理体系/服务认证证书和标志的合法权益；</w:t>
      </w:r>
    </w:p>
    <w:p>
      <w:pPr>
        <w:widowControl w:val="0"/>
        <w:spacing w:line="500" w:lineRule="exact"/>
        <w:ind w:firstLine="480" w:firstLineChars="200"/>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4.5.按乙方要求提交本组织有效版本的必要的文件化信息；</w:t>
      </w:r>
    </w:p>
    <w:p>
      <w:pPr>
        <w:widowControl w:val="0"/>
        <w:spacing w:line="500" w:lineRule="exact"/>
        <w:ind w:firstLine="480" w:firstLineChars="200"/>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4.6.认证审核/审查期间为审核/审查人员提供必要条件；为接纳到场的观察员（如认可评审员或实习审核/审查员）提供条件；协助认证监管部门的检查，对有关事项的询问和调查如实提供相关材料和信息；</w:t>
      </w:r>
    </w:p>
    <w:p>
      <w:pPr>
        <w:widowControl w:val="0"/>
        <w:spacing w:line="500" w:lineRule="exact"/>
        <w:ind w:firstLine="480" w:firstLineChars="200"/>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4.7.在传播媒介（如互联网、宣传册或广告）或其他文件中引用认证状态时，</w:t>
      </w:r>
    </w:p>
    <w:p>
      <w:pPr>
        <w:widowControl w:val="0"/>
        <w:spacing w:line="500" w:lineRule="exact"/>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应符合乙方的要求：</w:t>
      </w:r>
    </w:p>
    <w:p>
      <w:pPr>
        <w:widowControl w:val="0"/>
        <w:spacing w:line="500" w:lineRule="exact"/>
        <w:ind w:firstLine="480" w:firstLineChars="200"/>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 xml:space="preserve">4.7.1不做出有关认证资格的误导性说明； </w:t>
      </w:r>
    </w:p>
    <w:p>
      <w:pPr>
        <w:widowControl w:val="0"/>
        <w:spacing w:line="500" w:lineRule="exact"/>
        <w:ind w:firstLine="480" w:firstLineChars="200"/>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 xml:space="preserve">4.7.2不以误导性方式使用认证文件或其任何部分； </w:t>
      </w:r>
    </w:p>
    <w:p>
      <w:pPr>
        <w:widowControl w:val="0"/>
        <w:spacing w:line="500" w:lineRule="exact"/>
        <w:ind w:firstLine="480" w:firstLineChars="200"/>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4.7.3 在认证被撤销时，按照乙方的要求立即停止使用所有引用认证资格的广告材料并及时将认证证书交回乙方；</w:t>
      </w:r>
    </w:p>
    <w:p>
      <w:pPr>
        <w:widowControl w:val="0"/>
        <w:spacing w:line="500" w:lineRule="exact"/>
        <w:ind w:firstLine="480" w:firstLineChars="200"/>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 xml:space="preserve">4.7.4在认证范围缩小时，修改所有的广告材料； </w:t>
      </w:r>
    </w:p>
    <w:p>
      <w:pPr>
        <w:widowControl w:val="0"/>
        <w:spacing w:line="500" w:lineRule="exact"/>
        <w:ind w:firstLine="480" w:firstLineChars="200"/>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 xml:space="preserve">4.7.5不允许在引用认证资格时，暗示乙方对产品（包括服务）或过程进行了认证； </w:t>
      </w:r>
    </w:p>
    <w:p>
      <w:pPr>
        <w:widowControl w:val="0"/>
        <w:spacing w:line="500" w:lineRule="exact"/>
        <w:ind w:firstLine="480" w:firstLineChars="200"/>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 xml:space="preserve">4.7.6不得暗示认证适用于认证范围以外的活动和场所； </w:t>
      </w:r>
    </w:p>
    <w:p>
      <w:pPr>
        <w:widowControl w:val="0"/>
        <w:spacing w:line="500" w:lineRule="exact"/>
        <w:ind w:firstLine="480" w:firstLineChars="200"/>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4.7.7在使用认证资格时，不得使乙方和（或）认证制度声誉受损，失去公众信任。</w:t>
      </w:r>
    </w:p>
    <w:p>
      <w:pPr>
        <w:widowControl w:val="0"/>
        <w:spacing w:line="500" w:lineRule="exact"/>
        <w:ind w:firstLine="480" w:firstLineChars="200"/>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4.8.对获证范围的体系或服务运行的有效性和出现违反法规的相应事故负责；</w:t>
      </w:r>
    </w:p>
    <w:p>
      <w:pPr>
        <w:widowControl w:val="0"/>
        <w:spacing w:line="500" w:lineRule="exact"/>
        <w:ind w:firstLine="480" w:firstLineChars="200"/>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4.9.当发生可能影响体系或服务持续满足认证标准要求的能力的事宜时，应尽</w:t>
      </w:r>
    </w:p>
    <w:p>
      <w:pPr>
        <w:widowControl w:val="0"/>
        <w:spacing w:line="500" w:lineRule="exact"/>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 xml:space="preserve">快通知乙方，包括（但不限于）与下列方面有关的变更： </w:t>
      </w:r>
    </w:p>
    <w:p>
      <w:pPr>
        <w:widowControl w:val="0"/>
        <w:spacing w:line="500" w:lineRule="exact"/>
        <w:ind w:firstLine="480" w:firstLineChars="200"/>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4.9.1法律地位、经营状况、组织状态或所有权；</w:t>
      </w:r>
    </w:p>
    <w:p>
      <w:pPr>
        <w:widowControl w:val="0"/>
        <w:spacing w:line="500" w:lineRule="exact"/>
        <w:ind w:firstLine="480" w:firstLineChars="200"/>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4.9.2取得的行政许可资格、强制性认证或其他资质证书</w:t>
      </w:r>
    </w:p>
    <w:p>
      <w:pPr>
        <w:widowControl w:val="0"/>
        <w:spacing w:line="500" w:lineRule="exact"/>
        <w:ind w:firstLine="480" w:firstLineChars="200"/>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 xml:space="preserve">4.9.3组织和管理层（如法定代表人、最高管理者、主要联系人）； </w:t>
      </w:r>
    </w:p>
    <w:p>
      <w:pPr>
        <w:widowControl w:val="0"/>
        <w:spacing w:line="500" w:lineRule="exact"/>
        <w:ind w:firstLine="480" w:firstLineChars="200"/>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 xml:space="preserve">4.9.4联系地址和生产经营或服务的工作场所； </w:t>
      </w:r>
    </w:p>
    <w:p>
      <w:pPr>
        <w:widowControl w:val="0"/>
        <w:spacing w:line="500" w:lineRule="exact"/>
        <w:ind w:firstLine="480" w:firstLineChars="200"/>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 xml:space="preserve">4.9.5认证覆盖的运作范围、重要过程； </w:t>
      </w:r>
    </w:p>
    <w:p>
      <w:pPr>
        <w:widowControl w:val="0"/>
        <w:spacing w:line="500" w:lineRule="exact"/>
        <w:ind w:firstLine="480" w:firstLineChars="200"/>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4.9.6重大投诉、监管部门处罚、质量/安全/环境事故；</w:t>
      </w:r>
    </w:p>
    <w:p>
      <w:pPr>
        <w:widowControl w:val="0"/>
        <w:spacing w:line="500" w:lineRule="exact"/>
        <w:ind w:firstLine="480" w:firstLineChars="200"/>
        <w:jc w:val="both"/>
        <w:rPr>
          <w:rFonts w:hint="eastAsia" w:ascii="宋体" w:hAnsi="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4.9.7与认证有关的其他重要情况。</w:t>
      </w:r>
    </w:p>
    <w:p>
      <w:pPr>
        <w:widowControl w:val="0"/>
        <w:spacing w:line="500" w:lineRule="exact"/>
        <w:ind w:firstLine="480" w:firstLineChars="200"/>
        <w:rPr>
          <w:rFonts w:hint="default" w:eastAsiaTheme="minorEastAsia"/>
          <w:color w:val="000000" w:themeColor="text1"/>
          <w:lang w:val="en-US" w:eastAsia="zh-CN"/>
          <w14:textFill>
            <w14:solidFill>
              <w14:schemeClr w14:val="tx1"/>
            </w14:solidFill>
          </w14:textFill>
        </w:rPr>
      </w:pPr>
      <w:r>
        <w:rPr>
          <w:rFonts w:hint="eastAsia" w:ascii="华文楷体" w:hAnsi="华文楷体" w:eastAsia="华文楷体" w:cs="Times New Roman"/>
          <w:color w:val="000000" w:themeColor="text1"/>
          <w:sz w:val="24"/>
          <w:szCs w:val="24"/>
          <w:lang w:val="en-US" w:eastAsia="zh-CN" w:bidi="ar-SA"/>
          <w14:textFill>
            <w14:solidFill>
              <w14:schemeClr w14:val="tx1"/>
            </w14:solidFill>
          </w14:textFill>
        </w:rPr>
        <w:t>注：以上变更须在十个工作日内向乙方通报，乙方将按照认证认可规范的有关规定进行处理。</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0" w:firstLine="480" w:firstLineChars="200"/>
        <w:jc w:val="both"/>
        <w:textAlignment w:val="auto"/>
        <w:rPr>
          <w:rFonts w:ascii="宋体" w:hAnsi="宋体" w:cs="宋体"/>
          <w:color w:val="000000"/>
          <w:sz w:val="24"/>
          <w:szCs w:val="24"/>
        </w:rPr>
      </w:pPr>
      <w:r>
        <w:rPr>
          <w:rFonts w:hint="eastAsia" w:ascii="宋体" w:hAnsi="宋体" w:cs="宋体"/>
          <w:color w:val="000000"/>
          <w:sz w:val="24"/>
          <w:szCs w:val="24"/>
          <w:lang w:val="en-US" w:eastAsia="zh-CN"/>
        </w:rPr>
        <w:t xml:space="preserve">4.10. </w:t>
      </w:r>
      <w:r>
        <w:rPr>
          <w:rFonts w:ascii="宋体" w:hAnsi="宋体" w:cs="宋体"/>
          <w:color w:val="000000"/>
          <w:sz w:val="24"/>
          <w:szCs w:val="24"/>
        </w:rPr>
        <w:t>安排专人负责与乙方共同工作，协助完成</w:t>
      </w:r>
      <w:r>
        <w:rPr>
          <w:rFonts w:hint="eastAsia" w:ascii="宋体" w:hAnsi="宋体" w:cs="宋体"/>
          <w:color w:val="000000"/>
          <w:sz w:val="24"/>
          <w:szCs w:val="24"/>
          <w:lang w:val="en-US" w:eastAsia="zh-CN"/>
        </w:rPr>
        <w:t>认证</w:t>
      </w:r>
      <w:r>
        <w:rPr>
          <w:rFonts w:ascii="宋体" w:hAnsi="宋体" w:cs="宋体"/>
          <w:color w:val="000000"/>
          <w:sz w:val="24"/>
          <w:szCs w:val="24"/>
        </w:rPr>
        <w:t>并进行有关安排和协调</w:t>
      </w:r>
      <w:r>
        <w:rPr>
          <w:rFonts w:hint="eastAsia" w:ascii="宋体" w:hAnsi="宋体" w:cs="宋体"/>
          <w:color w:val="000000"/>
          <w:sz w:val="24"/>
          <w:szCs w:val="24"/>
          <w:lang w:val="en-US" w:eastAsia="zh-CN"/>
        </w:rPr>
        <w:t>工</w:t>
      </w:r>
      <w:r>
        <w:rPr>
          <w:rFonts w:ascii="宋体" w:hAnsi="宋体" w:cs="宋体"/>
          <w:color w:val="000000"/>
          <w:sz w:val="24"/>
          <w:szCs w:val="24"/>
        </w:rPr>
        <w:t>作；</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0" w:firstLine="480" w:firstLineChars="200"/>
        <w:jc w:val="both"/>
        <w:textAlignment w:val="auto"/>
        <w:rPr>
          <w:rFonts w:ascii="宋体" w:hAnsi="宋体" w:cs="宋体"/>
          <w:color w:val="000000"/>
          <w:sz w:val="24"/>
          <w:szCs w:val="24"/>
        </w:rPr>
      </w:pPr>
      <w:r>
        <w:rPr>
          <w:rFonts w:hint="eastAsia" w:ascii="宋体" w:hAnsi="宋体" w:cs="宋体"/>
          <w:color w:val="000000"/>
          <w:sz w:val="24"/>
          <w:szCs w:val="24"/>
          <w:lang w:val="en-US" w:eastAsia="zh-CN"/>
        </w:rPr>
        <w:t>4.11.认证</w:t>
      </w:r>
      <w:r>
        <w:rPr>
          <w:rFonts w:ascii="宋体" w:hAnsi="宋体" w:cs="宋体"/>
          <w:color w:val="000000"/>
          <w:sz w:val="24"/>
          <w:szCs w:val="24"/>
        </w:rPr>
        <w:t>期间，乙方的工作计划经甲方认可后，甲方须在时间上予以配合；双方根据</w:t>
      </w:r>
      <w:r>
        <w:rPr>
          <w:rFonts w:hint="eastAsia" w:ascii="宋体" w:hAnsi="宋体" w:cs="宋体"/>
          <w:color w:val="000000"/>
          <w:sz w:val="24"/>
          <w:szCs w:val="24"/>
          <w:lang w:val="en-US" w:eastAsia="zh-CN"/>
        </w:rPr>
        <w:t>实际</w:t>
      </w:r>
      <w:r>
        <w:rPr>
          <w:rFonts w:ascii="宋体" w:hAnsi="宋体" w:cs="宋体"/>
          <w:color w:val="000000"/>
          <w:sz w:val="24"/>
          <w:szCs w:val="24"/>
        </w:rPr>
        <w:t>情况协商调整计划安排；</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0" w:firstLine="480" w:firstLineChars="200"/>
        <w:jc w:val="both"/>
        <w:textAlignment w:val="auto"/>
        <w:rPr>
          <w:rFonts w:ascii="宋体" w:hAnsi="宋体" w:cs="宋体"/>
          <w:color w:val="000000"/>
          <w:sz w:val="24"/>
          <w:szCs w:val="24"/>
        </w:rPr>
      </w:pPr>
      <w:r>
        <w:rPr>
          <w:rFonts w:hint="eastAsia" w:ascii="宋体" w:hAnsi="宋体" w:cs="宋体"/>
          <w:color w:val="000000"/>
          <w:sz w:val="24"/>
          <w:szCs w:val="24"/>
          <w:lang w:val="en-US" w:eastAsia="zh-CN"/>
        </w:rPr>
        <w:t>4.12.认证</w:t>
      </w:r>
      <w:r>
        <w:rPr>
          <w:rFonts w:ascii="宋体" w:hAnsi="宋体" w:cs="宋体"/>
          <w:color w:val="000000"/>
          <w:sz w:val="24"/>
          <w:szCs w:val="24"/>
        </w:rPr>
        <w:t>期间，甲方为乙方提供必要的办公条件和设施（包括办公场所、网络、电话、打印机等）</w:t>
      </w:r>
      <w:r>
        <w:rPr>
          <w:rFonts w:hint="eastAsia" w:ascii="宋体" w:hAnsi="宋体" w:cs="宋体"/>
          <w:color w:val="000000"/>
          <w:sz w:val="24"/>
          <w:szCs w:val="24"/>
          <w:lang w:eastAsia="zh-CN"/>
        </w:rPr>
        <w:t>，</w:t>
      </w:r>
      <w:r>
        <w:rPr>
          <w:rFonts w:hint="eastAsia" w:ascii="宋体" w:hAnsi="宋体" w:cs="宋体"/>
          <w:color w:val="000000"/>
          <w:sz w:val="24"/>
          <w:szCs w:val="24"/>
        </w:rPr>
        <w:t>甲方须向</w:t>
      </w:r>
      <w:r>
        <w:rPr>
          <w:rFonts w:hint="eastAsia" w:ascii="宋体" w:hAnsi="宋体" w:cs="宋体"/>
          <w:color w:val="000000"/>
          <w:sz w:val="24"/>
          <w:szCs w:val="24"/>
          <w:lang w:eastAsia="zh-CN"/>
        </w:rPr>
        <w:t>乙方</w:t>
      </w:r>
      <w:r>
        <w:rPr>
          <w:rFonts w:hint="eastAsia" w:ascii="宋体" w:hAnsi="宋体" w:cs="宋体"/>
          <w:color w:val="000000"/>
          <w:sz w:val="24"/>
          <w:szCs w:val="24"/>
        </w:rPr>
        <w:t>提供认证工作所需要的所有相关资料（包括电子版文件和书面文件）；</w:t>
      </w:r>
    </w:p>
    <w:p>
      <w:pPr>
        <w:pStyle w:val="3"/>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ascii="宋体" w:hAnsi="宋体" w:cs="宋体"/>
          <w:color w:val="000000"/>
          <w:sz w:val="24"/>
          <w:szCs w:val="24"/>
        </w:rPr>
      </w:pPr>
      <w:r>
        <w:rPr>
          <w:rFonts w:ascii="宋体" w:hAnsi="宋体" w:cs="宋体"/>
          <w:sz w:val="24"/>
          <w:szCs w:val="24"/>
        </w:rPr>
        <w:t>乙方权利与义务</w:t>
      </w:r>
    </w:p>
    <w:p>
      <w:pPr>
        <w:pStyle w:val="8"/>
        <w:keepNext w:val="0"/>
        <w:keepLines w:val="0"/>
        <w:pageBreakBefore w:val="0"/>
        <w:widowControl w:val="0"/>
        <w:numPr>
          <w:ilvl w:val="1"/>
          <w:numId w:val="1"/>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sz w:val="24"/>
          <w:szCs w:val="24"/>
        </w:rPr>
      </w:pPr>
      <w:r>
        <w:rPr>
          <w:rFonts w:ascii="宋体" w:hAnsi="宋体" w:cs="宋体"/>
          <w:color w:val="000000"/>
          <w:sz w:val="24"/>
          <w:szCs w:val="24"/>
        </w:rPr>
        <w:t>执行本合同约定，</w:t>
      </w:r>
      <w:r>
        <w:rPr>
          <w:rFonts w:hint="eastAsia" w:ascii="宋体" w:hAnsi="宋体" w:cs="宋体"/>
          <w:color w:val="auto"/>
          <w:sz w:val="24"/>
          <w:szCs w:val="24"/>
        </w:rPr>
        <w:t>遵守国家法律法规和有关认证规定；</w:t>
      </w:r>
    </w:p>
    <w:p>
      <w:pPr>
        <w:pStyle w:val="8"/>
        <w:keepNext w:val="0"/>
        <w:keepLines w:val="0"/>
        <w:pageBreakBefore w:val="0"/>
        <w:widowControl w:val="0"/>
        <w:numPr>
          <w:ilvl w:val="1"/>
          <w:numId w:val="1"/>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sz w:val="24"/>
          <w:szCs w:val="24"/>
        </w:rPr>
      </w:pPr>
      <w:r>
        <w:rPr>
          <w:rFonts w:ascii="宋体" w:hAnsi="宋体" w:cs="宋体"/>
          <w:color w:val="000000"/>
          <w:sz w:val="24"/>
          <w:szCs w:val="24"/>
        </w:rPr>
        <w:t>乙方负责制定相应的工作计划、方案与步骤，并根据甲方的意见进行修正，以保证项目的顺利实施；</w:t>
      </w:r>
    </w:p>
    <w:p>
      <w:pPr>
        <w:pStyle w:val="8"/>
        <w:keepNext w:val="0"/>
        <w:keepLines w:val="0"/>
        <w:pageBreakBefore w:val="0"/>
        <w:widowControl w:val="0"/>
        <w:numPr>
          <w:ilvl w:val="1"/>
          <w:numId w:val="1"/>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sz w:val="24"/>
          <w:szCs w:val="24"/>
        </w:rPr>
      </w:pPr>
      <w:r>
        <w:rPr>
          <w:rFonts w:ascii="宋体" w:hAnsi="宋体" w:cs="宋体"/>
          <w:color w:val="000000"/>
          <w:sz w:val="24"/>
          <w:szCs w:val="24"/>
        </w:rPr>
        <w:t>严格按照工作程序操作，以使得实施的</w:t>
      </w:r>
      <w:r>
        <w:rPr>
          <w:rFonts w:hint="eastAsia" w:ascii="宋体" w:hAnsi="宋体" w:cs="宋体"/>
          <w:color w:val="000000"/>
          <w:sz w:val="24"/>
          <w:szCs w:val="24"/>
          <w:lang w:val="en-US" w:eastAsia="zh-CN"/>
        </w:rPr>
        <w:t>认证</w:t>
      </w:r>
      <w:r>
        <w:rPr>
          <w:rFonts w:ascii="宋体" w:hAnsi="宋体" w:cs="宋体"/>
          <w:color w:val="000000"/>
          <w:sz w:val="24"/>
          <w:szCs w:val="24"/>
        </w:rPr>
        <w:t>方案得到甲方认同。</w:t>
      </w:r>
    </w:p>
    <w:p>
      <w:pPr>
        <w:pStyle w:val="8"/>
        <w:keepNext w:val="0"/>
        <w:keepLines w:val="0"/>
        <w:pageBreakBefore w:val="0"/>
        <w:widowControl w:val="0"/>
        <w:numPr>
          <w:ilvl w:val="1"/>
          <w:numId w:val="1"/>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乙方应公正、科学、客观、实事求是地提出问题和处理问题。</w:t>
      </w:r>
    </w:p>
    <w:p>
      <w:pPr>
        <w:pStyle w:val="8"/>
        <w:keepNext w:val="0"/>
        <w:keepLines w:val="0"/>
        <w:pageBreakBefore w:val="0"/>
        <w:widowControl w:val="0"/>
        <w:numPr>
          <w:ilvl w:val="1"/>
          <w:numId w:val="1"/>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乙方各个层次（包括代表乙方活动的委员会、外部机构或个人）</w:t>
      </w:r>
      <w:r>
        <w:rPr>
          <w:rFonts w:ascii="宋体" w:hAnsi="宋体" w:cs="宋体"/>
          <w:color w:val="000000" w:themeColor="text1"/>
          <w:sz w:val="24"/>
          <w:szCs w:val="24"/>
          <w14:textFill>
            <w14:solidFill>
              <w14:schemeClr w14:val="tx1"/>
            </w14:solidFill>
          </w14:textFill>
        </w:rPr>
        <w:t>不得将甲方经营、生产状况及技术信息以任何方式泄漏给第三方，但下列情况除外：</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jc w:val="both"/>
        <w:textAlignment w:val="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5.5.</w:t>
      </w:r>
      <w:r>
        <w:rPr>
          <w:rFonts w:hint="eastAsia" w:ascii="宋体" w:hAnsi="宋体" w:cs="宋体"/>
          <w:color w:val="000000" w:themeColor="text1"/>
          <w:sz w:val="24"/>
          <w:szCs w:val="24"/>
          <w14:textFill>
            <w14:solidFill>
              <w14:schemeClr w14:val="tx1"/>
            </w14:solidFill>
          </w14:textFill>
        </w:rPr>
        <w:t>1合同签署前乙方在不违反任何保密责任情况下得到的消息；</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jc w:val="both"/>
        <w:textAlignment w:val="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5.5.</w:t>
      </w:r>
      <w:r>
        <w:rPr>
          <w:rFonts w:hint="eastAsia" w:ascii="宋体" w:hAnsi="宋体" w:cs="宋体"/>
          <w:color w:val="000000" w:themeColor="text1"/>
          <w:sz w:val="24"/>
          <w:szCs w:val="24"/>
          <w14:textFill>
            <w14:solidFill>
              <w14:schemeClr w14:val="tx1"/>
            </w14:solidFill>
          </w14:textFill>
        </w:rPr>
        <w:t>2甲方已公开的资料；</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200"/>
        <w:jc w:val="both"/>
        <w:textAlignment w:val="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5.5.</w:t>
      </w:r>
      <w:r>
        <w:rPr>
          <w:rFonts w:hint="eastAsia" w:ascii="宋体" w:hAnsi="宋体" w:cs="宋体"/>
          <w:color w:val="000000" w:themeColor="text1"/>
          <w:sz w:val="24"/>
          <w:szCs w:val="24"/>
          <w14:textFill>
            <w14:solidFill>
              <w14:schemeClr w14:val="tx1"/>
            </w14:solidFill>
          </w14:textFill>
        </w:rPr>
        <w:t>3法律另有要求时；</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00" w:lineRule="exact"/>
        <w:ind w:leftChars="0" w:firstLine="480" w:firstLineChars="200"/>
        <w:jc w:val="both"/>
        <w:textAlignment w:val="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5.5.</w:t>
      </w:r>
      <w:r>
        <w:rPr>
          <w:rFonts w:hint="eastAsia" w:ascii="宋体" w:hAnsi="宋体" w:cs="宋体"/>
          <w:color w:val="000000" w:themeColor="text1"/>
          <w:sz w:val="24"/>
          <w:szCs w:val="24"/>
          <w14:textFill>
            <w14:solidFill>
              <w14:schemeClr w14:val="tx1"/>
            </w14:solidFill>
          </w14:textFill>
        </w:rPr>
        <w:t>4国家主管部门或有管辖权的司法机构和仲裁机关</w:t>
      </w:r>
      <w:r>
        <w:rPr>
          <w:rFonts w:hint="eastAsia" w:ascii="宋体" w:hAnsi="宋体" w:cs="宋体"/>
          <w:color w:val="000000" w:themeColor="text1"/>
          <w:sz w:val="24"/>
          <w:szCs w:val="24"/>
          <w:lang w:val="en-US" w:eastAsia="zh-CN"/>
          <w14:textFill>
            <w14:solidFill>
              <w14:schemeClr w14:val="tx1"/>
            </w14:solidFill>
          </w14:textFill>
        </w:rPr>
        <w:t>作</w:t>
      </w:r>
      <w:r>
        <w:rPr>
          <w:rFonts w:hint="eastAsia" w:ascii="宋体" w:hAnsi="宋体" w:cs="宋体"/>
          <w:color w:val="000000" w:themeColor="text1"/>
          <w:sz w:val="24"/>
          <w:szCs w:val="24"/>
          <w14:textFill>
            <w14:solidFill>
              <w14:schemeClr w14:val="tx1"/>
            </w14:solidFill>
          </w14:textFill>
        </w:rPr>
        <w:t>出判决、裁定、裁决等司法文书要求时。</w:t>
      </w:r>
    </w:p>
    <w:p>
      <w:pPr>
        <w:pStyle w:val="3"/>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ascii="宋体" w:hAnsi="宋体" w:cs="宋体"/>
          <w:color w:val="000000"/>
          <w:sz w:val="24"/>
          <w:szCs w:val="24"/>
        </w:rPr>
      </w:pPr>
      <w:r>
        <w:rPr>
          <w:rFonts w:ascii="宋体" w:hAnsi="宋体" w:cs="宋体"/>
          <w:sz w:val="24"/>
          <w:szCs w:val="24"/>
        </w:rPr>
        <w:t>保密</w:t>
      </w:r>
    </w:p>
    <w:p>
      <w:pPr>
        <w:pStyle w:val="8"/>
        <w:keepNext w:val="0"/>
        <w:keepLines w:val="0"/>
        <w:pageBreakBefore w:val="0"/>
        <w:widowControl w:val="0"/>
        <w:numPr>
          <w:ilvl w:val="1"/>
          <w:numId w:val="1"/>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sz w:val="24"/>
          <w:szCs w:val="24"/>
        </w:rPr>
      </w:pPr>
      <w:r>
        <w:rPr>
          <w:rFonts w:ascii="宋体" w:hAnsi="宋体" w:cs="宋体"/>
          <w:color w:val="000000"/>
          <w:sz w:val="24"/>
          <w:szCs w:val="24"/>
        </w:rPr>
        <w:t>合同各方保证对在讨论、签订、履行本合同过程中所获悉的属于其他方的且无法自公开渠道的文件及资料（包括但不限于商业秘密、公司计划、运营活动、财务信息、技术信息、经营信息及其他商业秘密）予以保密。未经该资料和文件的原提供方同意，其他方不得向任何第三方泄露该商业秘密的全部或部分内容。</w:t>
      </w:r>
    </w:p>
    <w:p>
      <w:pPr>
        <w:pStyle w:val="8"/>
        <w:keepNext w:val="0"/>
        <w:keepLines w:val="0"/>
        <w:pageBreakBefore w:val="0"/>
        <w:widowControl w:val="0"/>
        <w:numPr>
          <w:ilvl w:val="1"/>
          <w:numId w:val="1"/>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eastAsia" w:ascii="宋体" w:hAnsi="宋体" w:cs="宋体"/>
          <w:color w:val="000000"/>
          <w:sz w:val="24"/>
          <w:szCs w:val="24"/>
        </w:rPr>
      </w:pPr>
      <w:r>
        <w:rPr>
          <w:rFonts w:ascii="宋体" w:hAnsi="宋体" w:cs="宋体"/>
          <w:color w:val="000000"/>
          <w:sz w:val="24"/>
          <w:szCs w:val="24"/>
        </w:rPr>
        <w:t>双方承诺保守在履行本合同过程中得知的对方的商业秘密；该保密义务在本合同终止或解除（无论何种原因）之后仍需履行。</w:t>
      </w:r>
    </w:p>
    <w:p>
      <w:pPr>
        <w:pStyle w:val="8"/>
        <w:keepNext w:val="0"/>
        <w:keepLines w:val="0"/>
        <w:pageBreakBefore w:val="0"/>
        <w:widowControl w:val="0"/>
        <w:numPr>
          <w:ilvl w:val="1"/>
          <w:numId w:val="1"/>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eastAsia" w:ascii="宋体" w:hAnsi="宋体" w:cs="宋体"/>
          <w:color w:val="000000"/>
          <w:sz w:val="24"/>
          <w:szCs w:val="24"/>
        </w:rPr>
      </w:pPr>
      <w:r>
        <w:rPr>
          <w:rFonts w:hint="eastAsia" w:ascii="宋体" w:hAnsi="宋体" w:cs="宋体"/>
          <w:color w:val="000000"/>
          <w:sz w:val="24"/>
          <w:szCs w:val="24"/>
        </w:rPr>
        <w:t>本协议关于对保密信息的保护不适用于以下情形：</w:t>
      </w:r>
    </w:p>
    <w:p>
      <w:pPr>
        <w:pStyle w:val="8"/>
        <w:keepNext w:val="0"/>
        <w:keepLines w:val="0"/>
        <w:pageBreakBefore w:val="0"/>
        <w:widowControl w:val="0"/>
        <w:numPr>
          <w:ilvl w:val="2"/>
          <w:numId w:val="1"/>
        </w:numPr>
        <w:kinsoku/>
        <w:wordWrap/>
        <w:overflowPunct/>
        <w:topLinePunct w:val="0"/>
        <w:autoSpaceDE/>
        <w:autoSpaceDN/>
        <w:bidi w:val="0"/>
        <w:adjustRightInd/>
        <w:snapToGrid/>
        <w:spacing w:before="0" w:beforeAutospacing="0" w:after="0" w:afterAutospacing="0" w:line="500" w:lineRule="exact"/>
        <w:ind w:left="0" w:leftChars="0" w:firstLine="480" w:firstLineChars="200"/>
        <w:jc w:val="both"/>
        <w:textAlignment w:val="auto"/>
        <w:rPr>
          <w:rFonts w:hint="eastAsia" w:ascii="宋体" w:hAnsi="宋体" w:cs="宋体"/>
          <w:color w:val="000000"/>
          <w:sz w:val="24"/>
          <w:szCs w:val="24"/>
        </w:rPr>
      </w:pPr>
      <w:r>
        <w:rPr>
          <w:rFonts w:hint="eastAsia" w:ascii="宋体" w:hAnsi="宋体" w:cs="宋体"/>
          <w:color w:val="000000"/>
          <w:sz w:val="24"/>
          <w:szCs w:val="24"/>
        </w:rPr>
        <w:t>保密信息在披露给接收方之前，已经公开或能从公开领域获得；</w:t>
      </w:r>
    </w:p>
    <w:p>
      <w:pPr>
        <w:pStyle w:val="8"/>
        <w:keepNext w:val="0"/>
        <w:keepLines w:val="0"/>
        <w:pageBreakBefore w:val="0"/>
        <w:widowControl w:val="0"/>
        <w:numPr>
          <w:ilvl w:val="2"/>
          <w:numId w:val="1"/>
        </w:numPr>
        <w:kinsoku/>
        <w:wordWrap/>
        <w:overflowPunct/>
        <w:topLinePunct w:val="0"/>
        <w:autoSpaceDE/>
        <w:autoSpaceDN/>
        <w:bidi w:val="0"/>
        <w:adjustRightInd/>
        <w:snapToGrid/>
        <w:spacing w:before="0" w:beforeAutospacing="0" w:after="0" w:afterAutospacing="0" w:line="500" w:lineRule="exact"/>
        <w:ind w:left="0" w:leftChars="0" w:firstLine="480" w:firstLineChars="200"/>
        <w:jc w:val="both"/>
        <w:textAlignment w:val="auto"/>
        <w:rPr>
          <w:rFonts w:hint="eastAsia" w:ascii="宋体" w:hAnsi="宋体" w:cs="宋体"/>
          <w:color w:val="000000"/>
          <w:sz w:val="24"/>
          <w:szCs w:val="24"/>
        </w:rPr>
      </w:pPr>
      <w:r>
        <w:rPr>
          <w:rFonts w:hint="eastAsia" w:ascii="宋体" w:hAnsi="宋体" w:cs="宋体"/>
          <w:color w:val="000000"/>
          <w:sz w:val="24"/>
          <w:szCs w:val="24"/>
        </w:rPr>
        <w:t>在本协议约定的保密义务未被违反的前提下，保密信息已经公开或能从公开领域获得；</w:t>
      </w:r>
    </w:p>
    <w:p>
      <w:pPr>
        <w:pStyle w:val="8"/>
        <w:keepNext w:val="0"/>
        <w:keepLines w:val="0"/>
        <w:pageBreakBefore w:val="0"/>
        <w:widowControl w:val="0"/>
        <w:numPr>
          <w:ilvl w:val="2"/>
          <w:numId w:val="1"/>
        </w:numPr>
        <w:kinsoku/>
        <w:wordWrap/>
        <w:overflowPunct/>
        <w:topLinePunct w:val="0"/>
        <w:autoSpaceDE/>
        <w:autoSpaceDN/>
        <w:bidi w:val="0"/>
        <w:adjustRightInd/>
        <w:snapToGrid/>
        <w:spacing w:before="0" w:beforeAutospacing="0" w:after="0" w:afterAutospacing="0" w:line="500" w:lineRule="exact"/>
        <w:ind w:left="0" w:leftChars="0" w:firstLine="480" w:firstLineChars="200"/>
        <w:jc w:val="both"/>
        <w:textAlignment w:val="auto"/>
        <w:rPr>
          <w:rFonts w:ascii="宋体" w:hAnsi="宋体" w:cs="宋体"/>
          <w:color w:val="000000"/>
          <w:sz w:val="24"/>
          <w:szCs w:val="24"/>
        </w:rPr>
      </w:pPr>
      <w:r>
        <w:rPr>
          <w:rFonts w:hint="eastAsia" w:ascii="宋体" w:hAnsi="宋体" w:cs="宋体"/>
          <w:color w:val="000000"/>
          <w:sz w:val="24"/>
          <w:szCs w:val="24"/>
        </w:rPr>
        <w:t>接收方应法院或其他法律、行政管理部门要求披露保密信息（通过询问、要求资料或文件、传唤、民事或刑事调查或其他程序）。当出现此种情况时，接收方应及时通知提供方并做出必要说明，同时给予提供方合理的机会对披露内容和范围进行审阅，并允许提供方就该程序提出异议或寻求必要的救济；</w:t>
      </w:r>
    </w:p>
    <w:p>
      <w:pPr>
        <w:pStyle w:val="8"/>
        <w:keepNext w:val="0"/>
        <w:keepLines w:val="0"/>
        <w:pageBreakBefore w:val="0"/>
        <w:widowControl w:val="0"/>
        <w:numPr>
          <w:ilvl w:val="2"/>
          <w:numId w:val="1"/>
        </w:numPr>
        <w:kinsoku/>
        <w:wordWrap/>
        <w:overflowPunct/>
        <w:topLinePunct w:val="0"/>
        <w:autoSpaceDE/>
        <w:autoSpaceDN/>
        <w:bidi w:val="0"/>
        <w:adjustRightInd/>
        <w:snapToGrid/>
        <w:spacing w:before="0" w:beforeAutospacing="0" w:after="0" w:afterAutospacing="0" w:line="500" w:lineRule="exact"/>
        <w:ind w:left="0" w:leftChars="0" w:firstLine="480" w:firstLineChars="200"/>
        <w:jc w:val="both"/>
        <w:textAlignment w:val="auto"/>
        <w:rPr>
          <w:rFonts w:ascii="宋体" w:hAnsi="宋体" w:cs="宋体"/>
          <w:color w:val="000000"/>
          <w:sz w:val="24"/>
          <w:szCs w:val="24"/>
        </w:rPr>
      </w:pPr>
      <w:r>
        <w:rPr>
          <w:rFonts w:hint="eastAsia" w:ascii="宋体" w:hAnsi="宋体" w:cs="宋体"/>
          <w:color w:val="000000"/>
          <w:sz w:val="24"/>
          <w:szCs w:val="24"/>
        </w:rPr>
        <w:t>由于法定不可抗力因素，导致不能履行或不能完全履行本协议确定的保密义务时，甲乙双方相互不承担违约责任；在不可抗力影响消除后的合理时间内，一方或双方应当继续履行本协议。在上述情况发生时，接收方应在合理时间内向提供方发出通知，同时应当提供有效证据予以说明。</w:t>
      </w:r>
    </w:p>
    <w:p>
      <w:pPr>
        <w:pStyle w:val="3"/>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ascii="宋体" w:hAnsi="宋体" w:cs="宋体"/>
          <w:color w:val="000000"/>
          <w:sz w:val="24"/>
          <w:szCs w:val="24"/>
        </w:rPr>
      </w:pPr>
      <w:r>
        <w:rPr>
          <w:rFonts w:ascii="宋体" w:hAnsi="宋体" w:cs="宋体"/>
          <w:b/>
          <w:sz w:val="24"/>
          <w:szCs w:val="24"/>
        </w:rPr>
        <w:t>违约责任</w:t>
      </w:r>
    </w:p>
    <w:p>
      <w:pPr>
        <w:pStyle w:val="8"/>
        <w:keepNext w:val="0"/>
        <w:keepLines w:val="0"/>
        <w:pageBreakBefore w:val="0"/>
        <w:widowControl w:val="0"/>
        <w:numPr>
          <w:ilvl w:val="1"/>
          <w:numId w:val="1"/>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sz w:val="24"/>
          <w:szCs w:val="24"/>
        </w:rPr>
      </w:pPr>
      <w:r>
        <w:rPr>
          <w:rFonts w:ascii="宋体" w:hAnsi="宋体" w:cs="宋体"/>
          <w:color w:val="000000"/>
          <w:sz w:val="24"/>
          <w:szCs w:val="24"/>
        </w:rPr>
        <w:t>甲方逾期付款的，每逾期一天，应按逾期金额的</w:t>
      </w:r>
      <w:r>
        <w:rPr>
          <w:rFonts w:ascii="宋体" w:hAnsi="宋体" w:cs="宋体"/>
          <w:color w:val="000000"/>
          <w:sz w:val="24"/>
          <w:szCs w:val="24"/>
          <w:u w:val="single"/>
        </w:rPr>
        <w:t>  </w:t>
      </w:r>
      <w:r>
        <w:rPr>
          <w:rFonts w:ascii="宋体" w:hAnsi="宋体" w:cs="宋体"/>
          <w:color w:val="000000"/>
          <w:sz w:val="24"/>
          <w:szCs w:val="24"/>
        </w:rPr>
        <w:t>‰</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 xml:space="preserve">千分之  </w:t>
      </w:r>
      <w:r>
        <w:rPr>
          <w:rFonts w:hint="eastAsia" w:ascii="宋体" w:hAnsi="宋体" w:cs="宋体"/>
          <w:color w:val="000000"/>
          <w:sz w:val="24"/>
          <w:szCs w:val="24"/>
          <w:lang w:eastAsia="zh-CN"/>
        </w:rPr>
        <w:t>）</w:t>
      </w:r>
      <w:r>
        <w:rPr>
          <w:rFonts w:ascii="宋体" w:hAnsi="宋体" w:cs="宋体"/>
          <w:color w:val="000000"/>
          <w:sz w:val="24"/>
          <w:szCs w:val="24"/>
        </w:rPr>
        <w:t>向乙方支付违约金，同时仍应履行付款义务。</w:t>
      </w:r>
    </w:p>
    <w:p>
      <w:pPr>
        <w:pStyle w:val="8"/>
        <w:keepNext w:val="0"/>
        <w:keepLines w:val="0"/>
        <w:pageBreakBefore w:val="0"/>
        <w:widowControl w:val="0"/>
        <w:numPr>
          <w:ilvl w:val="1"/>
          <w:numId w:val="1"/>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sz w:val="24"/>
          <w:szCs w:val="24"/>
        </w:rPr>
      </w:pPr>
      <w:r>
        <w:rPr>
          <w:rFonts w:ascii="宋体" w:hAnsi="宋体" w:cs="宋体"/>
          <w:color w:val="000000"/>
          <w:sz w:val="24"/>
          <w:szCs w:val="24"/>
        </w:rPr>
        <w:t>甲方未按合同约定支付</w:t>
      </w:r>
      <w:r>
        <w:rPr>
          <w:rFonts w:hint="eastAsia" w:ascii="宋体" w:hAnsi="宋体" w:cs="宋体"/>
          <w:color w:val="000000"/>
          <w:sz w:val="24"/>
          <w:szCs w:val="24"/>
          <w:lang w:val="en-US" w:eastAsia="zh-CN"/>
        </w:rPr>
        <w:t>服务</w:t>
      </w:r>
      <w:r>
        <w:rPr>
          <w:rFonts w:ascii="宋体" w:hAnsi="宋体" w:cs="宋体"/>
          <w:color w:val="000000"/>
          <w:sz w:val="24"/>
          <w:szCs w:val="24"/>
        </w:rPr>
        <w:t>费用，或未按期提供乙方所需的材料，影响咨询</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认证</w:t>
      </w:r>
      <w:r>
        <w:rPr>
          <w:rFonts w:ascii="宋体" w:hAnsi="宋体" w:cs="宋体"/>
          <w:color w:val="000000"/>
          <w:sz w:val="24"/>
          <w:szCs w:val="24"/>
        </w:rPr>
        <w:t>工作计划顺利进行，最终影响</w:t>
      </w:r>
      <w:r>
        <w:rPr>
          <w:rFonts w:hint="eastAsia" w:ascii="宋体" w:hAnsi="宋体" w:cs="宋体"/>
          <w:color w:val="000000"/>
          <w:sz w:val="24"/>
          <w:szCs w:val="24"/>
          <w:lang w:val="en-US" w:eastAsia="zh-CN"/>
        </w:rPr>
        <w:t>到</w:t>
      </w:r>
      <w:r>
        <w:rPr>
          <w:rFonts w:ascii="宋体" w:hAnsi="宋体" w:cs="宋体"/>
          <w:color w:val="000000"/>
          <w:sz w:val="24"/>
          <w:szCs w:val="24"/>
        </w:rPr>
        <w:t>咨询</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认证工作</w:t>
      </w:r>
      <w:r>
        <w:rPr>
          <w:rFonts w:ascii="宋体" w:hAnsi="宋体" w:cs="宋体"/>
          <w:color w:val="000000"/>
          <w:sz w:val="24"/>
          <w:szCs w:val="24"/>
        </w:rPr>
        <w:t>完成期限</w:t>
      </w:r>
      <w:r>
        <w:rPr>
          <w:rFonts w:hint="eastAsia" w:ascii="宋体" w:hAnsi="宋体" w:cs="宋体"/>
          <w:color w:val="000000"/>
          <w:sz w:val="24"/>
          <w:szCs w:val="24"/>
          <w:lang w:val="en-US" w:eastAsia="zh-CN"/>
        </w:rPr>
        <w:t>的</w:t>
      </w:r>
      <w:r>
        <w:rPr>
          <w:rFonts w:ascii="宋体" w:hAnsi="宋体" w:cs="宋体"/>
          <w:color w:val="000000"/>
          <w:sz w:val="24"/>
          <w:szCs w:val="24"/>
        </w:rPr>
        <w:t>，乙方不负任何责任。</w:t>
      </w:r>
    </w:p>
    <w:p>
      <w:pPr>
        <w:pStyle w:val="3"/>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ascii="宋体" w:hAnsi="宋体" w:cs="宋体"/>
          <w:color w:val="000000"/>
          <w:sz w:val="24"/>
          <w:szCs w:val="24"/>
        </w:rPr>
      </w:pPr>
      <w:r>
        <w:rPr>
          <w:rFonts w:ascii="宋体" w:hAnsi="宋体" w:cs="宋体"/>
          <w:b/>
          <w:sz w:val="24"/>
          <w:szCs w:val="24"/>
        </w:rPr>
        <w:t>争议解决</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sz w:val="24"/>
          <w:szCs w:val="24"/>
        </w:rPr>
      </w:pPr>
      <w:r>
        <w:rPr>
          <w:rFonts w:ascii="宋体" w:hAnsi="宋体" w:cs="宋体"/>
          <w:color w:val="000000"/>
          <w:sz w:val="24"/>
          <w:szCs w:val="24"/>
        </w:rPr>
        <w:t>因本合同引起的或与本合同有关的任何争议，由合同各方协商解决，也可由有关部门调解。协商或调解不成的，应向</w:t>
      </w:r>
      <w:r>
        <w:rPr>
          <w:rFonts w:hint="eastAsia" w:ascii="宋体" w:hAnsi="宋体" w:cs="宋体"/>
          <w:color w:val="000000"/>
          <w:sz w:val="24"/>
          <w:szCs w:val="24"/>
          <w:u w:val="none"/>
          <w:lang w:val="en-US" w:eastAsia="zh-CN"/>
        </w:rPr>
        <w:t>乙方住所地</w:t>
      </w:r>
      <w:r>
        <w:rPr>
          <w:rFonts w:ascii="宋体" w:hAnsi="宋体" w:cs="宋体"/>
          <w:color w:val="000000"/>
          <w:sz w:val="24"/>
          <w:szCs w:val="24"/>
          <w:u w:val="none"/>
        </w:rPr>
        <w:t>有管</w:t>
      </w:r>
      <w:r>
        <w:rPr>
          <w:rFonts w:ascii="宋体" w:hAnsi="宋体" w:cs="宋体"/>
          <w:color w:val="000000"/>
          <w:sz w:val="24"/>
          <w:szCs w:val="24"/>
        </w:rPr>
        <w:t>辖权的人民法院起诉。</w:t>
      </w:r>
    </w:p>
    <w:p>
      <w:pPr>
        <w:pStyle w:val="3"/>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ascii="宋体" w:hAnsi="宋体" w:cs="宋体"/>
          <w:color w:val="000000"/>
          <w:sz w:val="24"/>
          <w:szCs w:val="24"/>
        </w:rPr>
      </w:pPr>
      <w:r>
        <w:rPr>
          <w:rFonts w:ascii="宋体" w:hAnsi="宋体" w:cs="宋体"/>
          <w:b/>
          <w:sz w:val="24"/>
          <w:szCs w:val="24"/>
        </w:rPr>
        <w:t>附则</w:t>
      </w:r>
    </w:p>
    <w:p>
      <w:pPr>
        <w:pStyle w:val="8"/>
        <w:keepNext w:val="0"/>
        <w:keepLines w:val="0"/>
        <w:pageBreakBefore w:val="0"/>
        <w:widowControl w:val="0"/>
        <w:numPr>
          <w:ilvl w:val="1"/>
          <w:numId w:val="1"/>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sz w:val="24"/>
          <w:szCs w:val="24"/>
        </w:rPr>
      </w:pPr>
      <w:r>
        <w:rPr>
          <w:rFonts w:hint="eastAsia" w:ascii="宋体" w:hAnsi="宋体" w:cs="宋体"/>
          <w:color w:val="000000"/>
          <w:sz w:val="24"/>
          <w:szCs w:val="24"/>
        </w:rPr>
        <w:t>本合同包含</w:t>
      </w:r>
      <w:r>
        <w:rPr>
          <w:rFonts w:hint="eastAsia" w:ascii="宋体" w:hAnsi="宋体" w:cs="宋体"/>
          <w:color w:val="000000" w:themeColor="text1"/>
          <w:sz w:val="24"/>
          <w:szCs w:val="24"/>
          <w:lang w:val="en-US" w:eastAsia="zh-CN"/>
          <w14:textFill>
            <w14:solidFill>
              <w14:schemeClr w14:val="tx1"/>
            </w14:solidFill>
          </w14:textFill>
        </w:rPr>
        <w:t>附件一：</w:t>
      </w:r>
      <w:r>
        <w:rPr>
          <w:rFonts w:hint="eastAsia" w:ascii="宋体" w:hAnsi="宋体" w:cs="宋体"/>
          <w:color w:val="auto"/>
          <w:sz w:val="24"/>
          <w:szCs w:val="24"/>
          <w:lang w:val="en-US" w:eastAsia="zh-CN"/>
        </w:rPr>
        <w:t>初次审查费用收费标准表、</w:t>
      </w:r>
      <w:r>
        <w:rPr>
          <w:rFonts w:hint="eastAsia" w:ascii="宋体" w:hAnsi="宋体" w:cs="宋体"/>
          <w:color w:val="000000" w:themeColor="text1"/>
          <w:sz w:val="24"/>
          <w:szCs w:val="24"/>
          <w:lang w:val="en-US" w:eastAsia="zh-CN"/>
          <w14:textFill>
            <w14:solidFill>
              <w14:schemeClr w14:val="tx1"/>
            </w14:solidFill>
          </w14:textFill>
        </w:rPr>
        <w:t>附件二：</w:t>
      </w:r>
      <w:r>
        <w:rPr>
          <w:rFonts w:hint="eastAsia" w:ascii="宋体" w:hAnsi="宋体" w:cs="宋体"/>
          <w:color w:val="auto"/>
          <w:sz w:val="24"/>
          <w:szCs w:val="24"/>
          <w:lang w:val="en-US" w:eastAsia="zh-CN"/>
        </w:rPr>
        <w:t>监督审查费用收费标准表，</w:t>
      </w:r>
      <w:r>
        <w:rPr>
          <w:rFonts w:hint="eastAsia" w:ascii="宋体" w:hAnsi="宋体" w:cs="宋体"/>
          <w:color w:val="000000"/>
          <w:sz w:val="24"/>
          <w:szCs w:val="24"/>
        </w:rPr>
        <w:t>本合同附件是本合同不可分割的组成部分，与本合同正文具有同等法律效力。</w:t>
      </w:r>
    </w:p>
    <w:p>
      <w:pPr>
        <w:pStyle w:val="8"/>
        <w:keepNext w:val="0"/>
        <w:keepLines w:val="0"/>
        <w:pageBreakBefore w:val="0"/>
        <w:widowControl w:val="0"/>
        <w:numPr>
          <w:ilvl w:val="1"/>
          <w:numId w:val="1"/>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sz w:val="24"/>
          <w:szCs w:val="24"/>
        </w:rPr>
      </w:pPr>
      <w:r>
        <w:rPr>
          <w:rFonts w:ascii="宋体" w:hAnsi="宋体" w:cs="宋体"/>
          <w:color w:val="000000"/>
          <w:sz w:val="24"/>
          <w:szCs w:val="24"/>
        </w:rPr>
        <w:t>本合同一式二份，合同各方各执一份。各份合同文本具有同等法律效力。</w:t>
      </w:r>
    </w:p>
    <w:p>
      <w:pPr>
        <w:pStyle w:val="8"/>
        <w:keepNext w:val="0"/>
        <w:keepLines w:val="0"/>
        <w:pageBreakBefore w:val="0"/>
        <w:widowControl w:val="0"/>
        <w:numPr>
          <w:ilvl w:val="1"/>
          <w:numId w:val="1"/>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ascii="宋体" w:hAnsi="宋体" w:cs="宋体"/>
          <w:color w:val="000000"/>
          <w:sz w:val="24"/>
          <w:szCs w:val="24"/>
        </w:rPr>
      </w:pPr>
      <w:r>
        <w:rPr>
          <w:rFonts w:ascii="宋体" w:hAnsi="宋体" w:cs="宋体"/>
          <w:color w:val="000000"/>
          <w:sz w:val="24"/>
          <w:szCs w:val="24"/>
        </w:rPr>
        <w:t>本合同经各方签署后生效。</w:t>
      </w:r>
    </w:p>
    <w:p>
      <w:pPr>
        <w:pStyle w:val="15"/>
        <w:keepNext w:val="0"/>
        <w:keepLines w:val="0"/>
        <w:pageBreakBefore w:val="0"/>
        <w:widowControl w:val="0"/>
        <w:numPr>
          <w:ilvl w:val="0"/>
          <w:numId w:val="0"/>
        </w:numPr>
        <w:shd w:val="clear" w:color="auto" w:fill="auto"/>
        <w:tabs>
          <w:tab w:val="left" w:pos="800"/>
        </w:tabs>
        <w:kinsoku/>
        <w:wordWrap/>
        <w:overflowPunct/>
        <w:topLinePunct w:val="0"/>
        <w:autoSpaceDE/>
        <w:autoSpaceDN/>
        <w:bidi w:val="0"/>
        <w:adjustRightInd/>
        <w:snapToGrid/>
        <w:spacing w:before="0" w:after="0" w:line="500" w:lineRule="exact"/>
        <w:ind w:left="0" w:leftChars="0" w:right="0" w:rightChars="0"/>
        <w:jc w:val="center"/>
        <w:textAlignment w:val="auto"/>
        <w:rPr>
          <w:rFonts w:hint="eastAsia" w:ascii="宋体" w:hAnsi="宋体" w:eastAsia="宋体" w:cs="宋体"/>
          <w:color w:val="auto"/>
          <w:spacing w:val="0"/>
          <w:w w:val="100"/>
          <w:position w:val="0"/>
          <w:sz w:val="24"/>
          <w:szCs w:val="24"/>
          <w:lang w:val="en-US" w:eastAsia="zh-CN"/>
        </w:rPr>
      </w:pPr>
      <w:r>
        <w:rPr>
          <w:rFonts w:hint="eastAsia" w:ascii="宋体" w:hAnsi="宋体" w:eastAsia="宋体" w:cs="宋体"/>
          <w:color w:val="auto"/>
          <w:spacing w:val="0"/>
          <w:w w:val="100"/>
          <w:position w:val="0"/>
          <w:sz w:val="24"/>
          <w:szCs w:val="24"/>
          <w:lang w:val="en-US" w:eastAsia="zh-CN"/>
        </w:rPr>
        <w:t>（以下无正文）</w:t>
      </w:r>
    </w:p>
    <w:p>
      <w:pPr>
        <w:pStyle w:val="15"/>
        <w:keepNext w:val="0"/>
        <w:keepLines w:val="0"/>
        <w:pageBreakBefore w:val="0"/>
        <w:widowControl w:val="0"/>
        <w:numPr>
          <w:ilvl w:val="0"/>
          <w:numId w:val="0"/>
        </w:numPr>
        <w:shd w:val="clear" w:color="auto" w:fill="auto"/>
        <w:tabs>
          <w:tab w:val="left" w:pos="814"/>
        </w:tabs>
        <w:kinsoku/>
        <w:wordWrap/>
        <w:overflowPunct/>
        <w:topLinePunct w:val="0"/>
        <w:autoSpaceDE/>
        <w:autoSpaceDN/>
        <w:bidi w:val="0"/>
        <w:adjustRightInd/>
        <w:snapToGrid/>
        <w:spacing w:before="0" w:after="0" w:line="500" w:lineRule="exact"/>
        <w:ind w:right="0" w:rightChars="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pacing w:val="0"/>
          <w:w w:val="100"/>
          <w:position w:val="0"/>
          <w:sz w:val="24"/>
          <w:szCs w:val="24"/>
        </w:rPr>
        <w:t>甲方</w:t>
      </w:r>
      <w:r>
        <w:rPr>
          <w:rFonts w:hint="eastAsia" w:ascii="宋体" w:hAnsi="宋体" w:eastAsia="宋体" w:cs="宋体"/>
          <w:color w:val="auto"/>
          <w:spacing w:val="0"/>
          <w:w w:val="100"/>
          <w:position w:val="0"/>
          <w:sz w:val="24"/>
          <w:szCs w:val="24"/>
          <w:lang w:eastAsia="zh-CN"/>
        </w:rPr>
        <w:t>：</w:t>
      </w:r>
      <w:r>
        <w:rPr>
          <w:rFonts w:hint="eastAsia" w:ascii="宋体" w:hAnsi="宋体" w:eastAsia="宋体" w:cs="宋体"/>
          <w:color w:val="auto"/>
          <w:spacing w:val="0"/>
          <w:w w:val="100"/>
          <w:position w:val="0"/>
          <w:sz w:val="24"/>
          <w:szCs w:val="24"/>
          <w:lang w:val="en-US" w:eastAsia="zh-CN"/>
        </w:rPr>
        <w:t xml:space="preserve">                                        乙方：</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                                    法定代表人</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或委托代理人：                                或委托代理人：</w:t>
      </w:r>
    </w:p>
    <w:p>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宋体" w:hAnsi="宋体" w:eastAsia="宋体" w:cs="宋体"/>
          <w:color w:val="auto"/>
          <w:sz w:val="24"/>
          <w:szCs w:val="24"/>
          <w:lang w:val="en-US" w:eastAsia="zh-CN"/>
        </w:rPr>
        <w:sectPr>
          <w:footerReference r:id="rId3" w:type="default"/>
          <w:pgNumType w:fmt="decimal"/>
          <w:cols w:space="720" w:num="1"/>
        </w:sectPr>
      </w:pPr>
      <w:r>
        <w:rPr>
          <w:rFonts w:hint="eastAsia" w:ascii="宋体" w:hAnsi="宋体" w:eastAsia="宋体" w:cs="宋体"/>
          <w:color w:val="auto"/>
          <w:sz w:val="24"/>
          <w:szCs w:val="24"/>
          <w:lang w:val="en-US" w:eastAsia="zh-CN"/>
        </w:rPr>
        <w:t xml:space="preserve">年   月   日                                  年   月   日  </w:t>
      </w:r>
    </w:p>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宋体" w:hAnsi="宋体" w:cs="宋体"/>
          <w:color w:val="auto"/>
          <w:sz w:val="24"/>
          <w:szCs w:val="24"/>
          <w:lang w:val="en-US" w:eastAsia="zh-CN"/>
        </w:rPr>
      </w:pPr>
      <w:r>
        <w:rPr>
          <w:rFonts w:hint="eastAsia" w:ascii="宋体" w:hAnsi="宋体" w:cs="宋体"/>
          <w:color w:val="000000" w:themeColor="text1"/>
          <w:sz w:val="24"/>
          <w:szCs w:val="24"/>
          <w:lang w:val="en-US" w:eastAsia="zh-CN"/>
          <w14:textFill>
            <w14:solidFill>
              <w14:schemeClr w14:val="tx1"/>
            </w14:solidFill>
          </w14:textFill>
        </w:rPr>
        <w:t>附件一：</w:t>
      </w:r>
      <w:r>
        <w:rPr>
          <w:rFonts w:hint="eastAsia" w:ascii="宋体" w:hAnsi="宋体" w:cs="宋体"/>
          <w:color w:val="auto"/>
          <w:sz w:val="24"/>
          <w:szCs w:val="24"/>
          <w:lang w:val="en-US" w:eastAsia="zh-CN"/>
        </w:rPr>
        <w:t>初次审查费用收费标准表</w:t>
      </w:r>
    </w:p>
    <w:tbl>
      <w:tblPr>
        <w:tblStyle w:val="11"/>
        <w:tblpPr w:leftFromText="180" w:rightFromText="180" w:vertAnchor="text" w:horzAnchor="page" w:tblpX="1810" w:tblpY="121"/>
        <w:tblOverlap w:val="never"/>
        <w:tblW w:w="833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2"/>
        <w:gridCol w:w="2846"/>
        <w:gridCol w:w="450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3" w:hRule="atLeast"/>
        </w:trPr>
        <w:tc>
          <w:tcPr>
            <w:tcW w:w="982"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序号</w:t>
            </w:r>
          </w:p>
        </w:tc>
        <w:tc>
          <w:tcPr>
            <w:tcW w:w="2846"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项目</w:t>
            </w:r>
          </w:p>
        </w:tc>
        <w:tc>
          <w:tcPr>
            <w:tcW w:w="4504"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标准（单位：元）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1" w:hRule="atLeast"/>
        </w:trPr>
        <w:tc>
          <w:tcPr>
            <w:tcW w:w="982"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1</w:t>
            </w:r>
          </w:p>
        </w:tc>
        <w:tc>
          <w:tcPr>
            <w:tcW w:w="2846"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认证申请费</w:t>
            </w:r>
          </w:p>
        </w:tc>
        <w:tc>
          <w:tcPr>
            <w:tcW w:w="4504"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1" w:hRule="atLeast"/>
        </w:trPr>
        <w:tc>
          <w:tcPr>
            <w:tcW w:w="982"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2</w:t>
            </w:r>
          </w:p>
        </w:tc>
        <w:tc>
          <w:tcPr>
            <w:tcW w:w="2846"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审查费</w:t>
            </w:r>
          </w:p>
        </w:tc>
        <w:tc>
          <w:tcPr>
            <w:tcW w:w="4504"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82,000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1" w:hRule="atLeast"/>
        </w:trPr>
        <w:tc>
          <w:tcPr>
            <w:tcW w:w="982"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3</w:t>
            </w:r>
          </w:p>
        </w:tc>
        <w:tc>
          <w:tcPr>
            <w:tcW w:w="2846"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审定与注册费</w:t>
            </w:r>
          </w:p>
        </w:tc>
        <w:tc>
          <w:tcPr>
            <w:tcW w:w="4504"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 w:hRule="atLeast"/>
        </w:trPr>
        <w:tc>
          <w:tcPr>
            <w:tcW w:w="982"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4</w:t>
            </w:r>
          </w:p>
        </w:tc>
        <w:tc>
          <w:tcPr>
            <w:tcW w:w="2846"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认证证书副本费</w:t>
            </w:r>
          </w:p>
        </w:tc>
        <w:tc>
          <w:tcPr>
            <w:tcW w:w="4504"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982"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5</w:t>
            </w:r>
          </w:p>
        </w:tc>
        <w:tc>
          <w:tcPr>
            <w:tcW w:w="2846"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认证证书铜牌费</w:t>
            </w:r>
          </w:p>
        </w:tc>
        <w:tc>
          <w:tcPr>
            <w:tcW w:w="4504"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6" w:hRule="atLeast"/>
        </w:trPr>
        <w:tc>
          <w:tcPr>
            <w:tcW w:w="3828" w:type="dxa"/>
            <w:gridSpan w:val="2"/>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cs="宋体"/>
                <w:color w:val="auto"/>
                <w:sz w:val="24"/>
                <w:szCs w:val="24"/>
                <w:lang w:val="en-US" w:eastAsia="zh-CN"/>
              </w:rPr>
            </w:pPr>
            <w:r>
              <w:rPr>
                <w:rFonts w:hint="eastAsia" w:ascii="宋体" w:hAnsi="宋体" w:cs="宋体"/>
                <w:b/>
                <w:bCs/>
                <w:color w:val="auto"/>
                <w:sz w:val="24"/>
                <w:szCs w:val="24"/>
                <w:lang w:val="en-US" w:eastAsia="zh-CN"/>
              </w:rPr>
              <w:t>合计</w:t>
            </w:r>
          </w:p>
        </w:tc>
        <w:tc>
          <w:tcPr>
            <w:tcW w:w="4504"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85700</w:t>
            </w:r>
          </w:p>
        </w:tc>
      </w:tr>
    </w:tbl>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宋体" w:hAnsi="宋体" w:cs="宋体"/>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附件二：监督审查费用收费标准表</w:t>
      </w:r>
    </w:p>
    <w:tbl>
      <w:tblPr>
        <w:tblStyle w:val="11"/>
        <w:tblpPr w:leftFromText="180" w:rightFromText="180" w:vertAnchor="text" w:horzAnchor="page" w:tblpX="1810" w:tblpY="121"/>
        <w:tblOverlap w:val="never"/>
        <w:tblW w:w="833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2"/>
        <w:gridCol w:w="2846"/>
        <w:gridCol w:w="450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3" w:hRule="atLeast"/>
        </w:trPr>
        <w:tc>
          <w:tcPr>
            <w:tcW w:w="982"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序号</w:t>
            </w:r>
          </w:p>
        </w:tc>
        <w:tc>
          <w:tcPr>
            <w:tcW w:w="2846"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项目</w:t>
            </w:r>
          </w:p>
        </w:tc>
        <w:tc>
          <w:tcPr>
            <w:tcW w:w="4504"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标准（单位：元）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1" w:hRule="atLeast"/>
        </w:trPr>
        <w:tc>
          <w:tcPr>
            <w:tcW w:w="982"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1</w:t>
            </w:r>
          </w:p>
        </w:tc>
        <w:tc>
          <w:tcPr>
            <w:tcW w:w="2846"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审查费</w:t>
            </w:r>
          </w:p>
        </w:tc>
        <w:tc>
          <w:tcPr>
            <w:tcW w:w="4504"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16,000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982"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2</w:t>
            </w:r>
          </w:p>
        </w:tc>
        <w:tc>
          <w:tcPr>
            <w:tcW w:w="2846"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认证证书铜牌费</w:t>
            </w:r>
          </w:p>
        </w:tc>
        <w:tc>
          <w:tcPr>
            <w:tcW w:w="4504"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6" w:hRule="atLeast"/>
        </w:trPr>
        <w:tc>
          <w:tcPr>
            <w:tcW w:w="3828" w:type="dxa"/>
            <w:gridSpan w:val="2"/>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cs="宋体"/>
                <w:color w:val="auto"/>
                <w:sz w:val="24"/>
                <w:szCs w:val="24"/>
                <w:lang w:val="en-US" w:eastAsia="zh-CN"/>
              </w:rPr>
            </w:pPr>
            <w:r>
              <w:rPr>
                <w:rFonts w:hint="eastAsia" w:ascii="宋体" w:hAnsi="宋体" w:cs="宋体"/>
                <w:b/>
                <w:bCs/>
                <w:color w:val="auto"/>
                <w:sz w:val="24"/>
                <w:szCs w:val="24"/>
                <w:lang w:val="en-US" w:eastAsia="zh-CN"/>
              </w:rPr>
              <w:t>合计</w:t>
            </w:r>
          </w:p>
        </w:tc>
        <w:tc>
          <w:tcPr>
            <w:tcW w:w="4504" w:type="dxa"/>
            <w:vAlign w:val="top"/>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Chars="200"/>
              <w:jc w:val="both"/>
              <w:textAlignment w:val="auto"/>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16600</w:t>
            </w:r>
          </w:p>
        </w:tc>
      </w:tr>
    </w:tbl>
    <w:p>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ascii="宋体" w:hAnsi="宋体" w:cs="宋体"/>
          <w:color w:val="000000"/>
          <w:sz w:val="24"/>
          <w:szCs w:val="24"/>
        </w:rPr>
      </w:pPr>
    </w:p>
    <w:sectPr>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Simfang">
    <w:altName w:val="Segoe Print"/>
    <w:panose1 w:val="00000000000000000000"/>
    <w:charset w:val="00"/>
    <w:family w:val="auto"/>
    <w:pitch w:val="default"/>
    <w:sig w:usb0="00000000" w:usb1="00000000" w:usb2="00000000" w:usb3="00000000" w:csb0="00000000" w:csb1="00000000"/>
  </w:font>
  <w:font w:name="Msyh">
    <w:altName w:val="Segoe Print"/>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HalfWidth"/>
      <w:lvlText w:val="%1."/>
      <w:lvlJc w:val="left"/>
      <w:pPr>
        <w:ind w:left="0"/>
      </w:pPr>
    </w:lvl>
    <w:lvl w:ilvl="1" w:tentative="0">
      <w:start w:val="1"/>
      <w:numFmt w:val="decimalHalfWidth"/>
      <w:lvlText w:val="%1.%2."/>
      <w:lvlJc w:val="left"/>
      <w:pPr>
        <w:ind w:left="0"/>
      </w:pPr>
    </w:lvl>
    <w:lvl w:ilvl="2" w:tentative="0">
      <w:start w:val="1"/>
      <w:numFmt w:val="decimalHalfWidth"/>
      <w:lvlText w:val="%1.%2.%3."/>
      <w:lvlJc w:val="left"/>
      <w:pPr>
        <w:ind w:left="0"/>
      </w:pPr>
    </w:lvl>
    <w:lvl w:ilvl="3" w:tentative="0">
      <w:start w:val="1"/>
      <w:numFmt w:val="decimalHalfWidth"/>
      <w:lvlText w:val="%1.%2.%3.%4."/>
      <w:lvlJc w:val="left"/>
      <w:pPr>
        <w:ind w:left="0"/>
      </w:pPr>
    </w:lvl>
    <w:lvl w:ilvl="4" w:tentative="0">
      <w:start w:val="1"/>
      <w:numFmt w:val="decimalHalfWidth"/>
      <w:lvlText w:val="%1.%2.%3.%4.%5."/>
      <w:lvlJc w:val="left"/>
      <w:pPr>
        <w:ind w:left="0"/>
      </w:pPr>
    </w:lvl>
    <w:lvl w:ilvl="5" w:tentative="0">
      <w:start w:val="1"/>
      <w:numFmt w:val="decimalHalfWidth"/>
      <w:lvlText w:val="%1.%2.%3.%4.%5.%6."/>
      <w:lvlJc w:val="left"/>
      <w:pPr>
        <w:ind w:left="0"/>
      </w:pPr>
    </w:lvl>
    <w:lvl w:ilvl="6" w:tentative="0">
      <w:start w:val="1"/>
      <w:numFmt w:val="decimalHalfWidth"/>
      <w:lvlText w:val="%1.%2.%3.%4.%5.%6.%7."/>
      <w:lvlJc w:val="left"/>
      <w:pPr>
        <w:ind w:left="0"/>
      </w:pPr>
    </w:lvl>
    <w:lvl w:ilvl="7" w:tentative="0">
      <w:start w:val="1"/>
      <w:numFmt w:val="decimalHalfWidth"/>
      <w:lvlText w:val="%1.%2.%3.%4.%5.%6.%7.%8."/>
      <w:lvlJc w:val="left"/>
      <w:pPr>
        <w:ind w:left="0"/>
      </w:pPr>
    </w:lvl>
    <w:lvl w:ilvl="8" w:tentative="0">
      <w:start w:val="1"/>
      <w:numFmt w:val="decimalHalfWidth"/>
      <w:lvlText w:val="%1.%2.%3.%4.%5.%6.%7.%8.%9."/>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0"/>
  <w:displayHorizontalDrawingGridEvery w:val="1"/>
  <w:displayVerticalDrawingGridEvery w:val="1"/>
  <w:noPunctuationKerning w:val="1"/>
  <w:compat>
    <w:doNotExpandShiftReturn/>
    <w:doNotWrapTextWithPunct/>
    <w:doNotUseEastAsianBreakRules/>
    <w:useFELayout/>
    <w:doNotUseIndentAsNumberingTabStop/>
    <w:compatSetting w:name="compatibilityMode" w:uri="http://schemas.microsoft.com/office/word" w:val="15"/>
  </w:compat>
  <w:docVars>
    <w:docVar w:name="commondata" w:val="eyJoZGlkIjoiNDJjMzlkMzMwODJkNzE3NmNiMDAxZTE0MjZkNmMyNDMifQ=="/>
  </w:docVars>
  <w:rsids>
    <w:rsidRoot w:val="00000000"/>
    <w:rsid w:val="03A560E5"/>
    <w:rsid w:val="1CBB4211"/>
    <w:rsid w:val="2F692722"/>
    <w:rsid w:val="33D27E7D"/>
    <w:rsid w:val="40370DDA"/>
    <w:rsid w:val="4A007AA5"/>
    <w:rsid w:val="4E065991"/>
    <w:rsid w:val="4E61488B"/>
    <w:rsid w:val="5CFB6ED1"/>
    <w:rsid w:val="5F461834"/>
    <w:rsid w:val="61F6761E"/>
    <w:rsid w:val="719937FF"/>
    <w:rsid w:val="761804D7"/>
    <w:rsid w:val="7A056F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cs="Times New Roman" w:eastAsiaTheme="minorEastAsia"/>
      <w:sz w:val="24"/>
    </w:rPr>
  </w:style>
  <w:style w:type="paragraph" w:styleId="2">
    <w:name w:val="heading 1"/>
    <w:basedOn w:val="1"/>
    <w:next w:val="1"/>
    <w:autoRedefine/>
    <w:qFormat/>
    <w:uiPriority w:val="9"/>
    <w:pPr>
      <w:keepLines/>
      <w:spacing w:before="280" w:beforeAutospacing="0" w:after="280" w:afterAutospacing="0"/>
      <w:jc w:val="center"/>
      <w:outlineLvl w:val="9"/>
    </w:pPr>
    <w:rPr>
      <w:b/>
      <w:color w:val="000000"/>
      <w:sz w:val="36"/>
    </w:rPr>
  </w:style>
  <w:style w:type="paragraph" w:styleId="3">
    <w:name w:val="heading 3"/>
    <w:basedOn w:val="1"/>
    <w:next w:val="1"/>
    <w:autoRedefine/>
    <w:qFormat/>
    <w:uiPriority w:val="9"/>
    <w:pPr>
      <w:keepLines/>
      <w:spacing w:before="280" w:beforeAutospacing="0" w:after="280" w:afterAutospacing="0"/>
      <w:outlineLvl w:val="1"/>
    </w:pPr>
    <w:rPr>
      <w:b/>
      <w:color w:val="000000"/>
      <w:sz w:val="28"/>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Body Text"/>
    <w:basedOn w:val="1"/>
    <w:autoRedefine/>
    <w:semiHidden/>
    <w:qFormat/>
    <w:uiPriority w:val="0"/>
    <w:rPr>
      <w:rFonts w:ascii="仿宋" w:hAnsi="仿宋" w:eastAsia="仿宋" w:cs="仿宋"/>
      <w:sz w:val="30"/>
      <w:szCs w:val="30"/>
      <w:lang w:val="en-US" w:eastAsia="en-US" w:bidi="ar-SA"/>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autoRedefine/>
    <w:qFormat/>
    <w:uiPriority w:val="99"/>
    <w:pPr>
      <w:spacing w:before="100" w:beforeAutospacing="1" w:after="100" w:afterAutospacing="1"/>
    </w:pPr>
    <w:rPr>
      <w:sz w:val="24"/>
    </w:rPr>
  </w:style>
  <w:style w:type="table" w:customStyle="1" w:styleId="11">
    <w:name w:val="Table Normal"/>
    <w:autoRedefine/>
    <w:qFormat/>
    <w:uiPriority w:val="59"/>
    <w:tblPr>
      <w:tblCellMar>
        <w:top w:w="0" w:type="dxa"/>
        <w:left w:w="108" w:type="dxa"/>
        <w:bottom w:w="0" w:type="dxa"/>
        <w:right w:w="108" w:type="dxa"/>
      </w:tblCellMar>
    </w:tblPr>
  </w:style>
  <w:style w:type="paragraph" w:customStyle="1" w:styleId="12">
    <w:name w:val="font-fangsong *"/>
    <w:basedOn w:val="1"/>
    <w:autoRedefine/>
    <w:qFormat/>
    <w:uiPriority w:val="0"/>
    <w:pPr>
      <w:spacing w:before="100" w:beforeAutospacing="1" w:after="100" w:afterAutospacing="1"/>
    </w:pPr>
    <w:rPr>
      <w:rFonts w:ascii="Simfang" w:hAnsi="Simfang" w:cs="Simfang"/>
      <w:sz w:val="24"/>
    </w:rPr>
  </w:style>
  <w:style w:type="paragraph" w:customStyle="1" w:styleId="13">
    <w:name w:val="font-song *"/>
    <w:basedOn w:val="1"/>
    <w:autoRedefine/>
    <w:qFormat/>
    <w:uiPriority w:val="0"/>
    <w:pPr>
      <w:spacing w:before="100" w:beforeAutospacing="1" w:after="100" w:afterAutospacing="1"/>
    </w:pPr>
    <w:rPr>
      <w:rFonts w:ascii="宋体" w:hAnsi="宋体" w:cs="宋体"/>
      <w:sz w:val="24"/>
    </w:rPr>
  </w:style>
  <w:style w:type="paragraph" w:customStyle="1" w:styleId="14">
    <w:name w:val="font-yahei *"/>
    <w:basedOn w:val="1"/>
    <w:autoRedefine/>
    <w:qFormat/>
    <w:uiPriority w:val="0"/>
    <w:pPr>
      <w:spacing w:before="100" w:beforeAutospacing="1" w:after="100" w:afterAutospacing="1"/>
    </w:pPr>
    <w:rPr>
      <w:rFonts w:ascii="Msyh" w:hAnsi="Msyh" w:cs="Msyh"/>
      <w:sz w:val="24"/>
    </w:rPr>
  </w:style>
  <w:style w:type="paragraph" w:customStyle="1" w:styleId="15">
    <w:name w:val="Body text|1"/>
    <w:basedOn w:val="1"/>
    <w:autoRedefine/>
    <w:qFormat/>
    <w:uiPriority w:val="0"/>
    <w:pPr>
      <w:widowControl w:val="0"/>
      <w:shd w:val="clear" w:color="auto" w:fill="auto"/>
      <w:spacing w:line="422" w:lineRule="auto"/>
      <w:ind w:firstLine="400"/>
    </w:pPr>
    <w:rPr>
      <w:rFonts w:ascii="宋体" w:hAnsi="宋体" w:eastAsia="宋体" w:cs="宋体"/>
      <w:sz w:val="22"/>
      <w:szCs w:val="22"/>
      <w:u w:val="none"/>
      <w:shd w:val="clear" w:color="auto" w:fill="auto"/>
      <w:lang w:val="zh-TW" w:eastAsia="zh-TW" w:bidi="zh-TW"/>
    </w:rPr>
  </w:style>
  <w:style w:type="paragraph" w:styleId="16">
    <w:name w:val="List Paragraph"/>
    <w:basedOn w:val="1"/>
    <w:autoRedefine/>
    <w:qFormat/>
    <w:uiPriority w:val="34"/>
    <w:pPr>
      <w:ind w:firstLine="420" w:firstLineChars="200"/>
    </w:pPr>
  </w:style>
  <w:style w:type="paragraph" w:customStyle="1" w:styleId="17">
    <w:name w:val="Default"/>
    <w:autoRedefine/>
    <w:qFormat/>
    <w:uiPriority w:val="0"/>
    <w:pPr>
      <w:widowControl w:val="0"/>
      <w:autoSpaceDE w:val="0"/>
      <w:autoSpaceDN w:val="0"/>
      <w:adjustRightInd w:val="0"/>
    </w:pPr>
    <w:rPr>
      <w:rFonts w:ascii="Arial" w:hAnsi="Arial" w:eastAsia="宋体" w:cs="Arial"/>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Min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ine">
      <a:majorFont>
        <a:latin typeface="宋体"/>
        <a:ea typeface="宋体"/>
        <a:cs typeface="宋体"/>
      </a:majorFont>
      <a:minorFont>
        <a:latin typeface="宋体"/>
        <a:ea typeface="宋体"/>
        <a:cs typeface="宋体"/>
      </a:minorFont>
    </a:fontScheme>
    <a:fmtScheme name="Mine">
      <a:fillStyleLst>
        <a:solidFill>
          <a:schemeClr val="phClr"/>
        </a:solidFill>
        <a:solidFill>
          <a:schemeClr val="phClr"/>
        </a:solidFill>
        <a:solidFill>
          <a:schemeClr val="phClr"/>
        </a:solidFill>
      </a:fillStyleLst>
      <a:lnStyleLst>
        <a:ln>
          <a:solidFill>
            <a:schemeClr val="phClr"/>
          </a:solidFill>
        </a:ln>
        <a:ln>
          <a:solidFill>
            <a:schemeClr val="phClr"/>
          </a:solidFill>
        </a:ln>
        <a:ln>
          <a:solidFill>
            <a:schemeClr val="phClr"/>
          </a:solidFill>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5</TotalTime>
  <ScaleCrop>false</ScaleCrop>
  <LinksUpToDate>false</LinksUpToDate>
  <Application>WPS Office_12.1.0.16399_F1E327BC-269C-435d-A152-05C5408002CA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2024-02-02T01:12:00Z</dcterms:created>
  <dc:creator>法天使</dc:creator>
  <cp:lastModifiedBy>女孩</cp:lastModifiedBy>
  <dcterms:modified xsi:type="dcterms:W3CDTF">2024-03-15T06:55:49Z</dcterms:modified>
  <dc:title>管理体系咨询服务合同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B8FF377A54F04A8F80EA830CC4258821_13</vt:lpwstr>
  </property>
</Properties>
</file>